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9828DF" w14:textId="77777777" w:rsidR="00C362E9" w:rsidRDefault="00C362E9" w:rsidP="00C362E9">
      <w:pPr>
        <w:jc w:val="center"/>
        <w:rPr>
          <w:rFonts w:ascii="Times New Roman" w:hAnsi="Times New Roman" w:cs="Times New Roman"/>
          <w:b/>
          <w:sz w:val="24"/>
          <w:szCs w:val="24"/>
          <w:u w:val="single"/>
        </w:rPr>
      </w:pPr>
      <w:r>
        <w:rPr>
          <w:rFonts w:ascii="Times New Roman" w:hAnsi="Times New Roman" w:cs="Times New Roman"/>
          <w:b/>
          <w:sz w:val="24"/>
          <w:szCs w:val="24"/>
          <w:u w:val="single"/>
        </w:rPr>
        <w:t>EXPLANATORY STATEMENT</w:t>
      </w:r>
    </w:p>
    <w:p w14:paraId="7364AF7A" w14:textId="396218FB" w:rsidR="00C362E9" w:rsidRPr="00B31C4B" w:rsidRDefault="00C362E9" w:rsidP="00C362E9">
      <w:pPr>
        <w:spacing w:before="240" w:after="240"/>
        <w:jc w:val="center"/>
        <w:rPr>
          <w:rFonts w:ascii="Times New Roman" w:hAnsi="Times New Roman" w:cs="Times New Roman"/>
          <w:sz w:val="24"/>
          <w:szCs w:val="24"/>
        </w:rPr>
      </w:pPr>
      <w:r w:rsidRPr="001E6C3C">
        <w:rPr>
          <w:rFonts w:ascii="Times New Roman" w:hAnsi="Times New Roman" w:cs="Times New Roman"/>
          <w:sz w:val="24"/>
          <w:szCs w:val="24"/>
          <w:u w:val="single"/>
        </w:rPr>
        <w:t xml:space="preserve">Issued by the authority of the Minister for Industry, </w:t>
      </w:r>
      <w:r w:rsidRPr="00831162">
        <w:rPr>
          <w:rFonts w:ascii="Times New Roman" w:hAnsi="Times New Roman" w:cs="Times New Roman"/>
          <w:sz w:val="24"/>
          <w:szCs w:val="24"/>
          <w:u w:val="single"/>
        </w:rPr>
        <w:t>Science</w:t>
      </w:r>
      <w:r w:rsidR="00E8360D">
        <w:rPr>
          <w:rFonts w:ascii="Times New Roman" w:hAnsi="Times New Roman" w:cs="Times New Roman"/>
          <w:sz w:val="24"/>
          <w:szCs w:val="24"/>
          <w:u w:val="single"/>
        </w:rPr>
        <w:t xml:space="preserve"> and Technology</w:t>
      </w:r>
    </w:p>
    <w:p w14:paraId="6F390201" w14:textId="77777777" w:rsidR="00C362E9" w:rsidRPr="00265D8D" w:rsidRDefault="00C362E9" w:rsidP="00C362E9">
      <w:pPr>
        <w:spacing w:before="240" w:after="240"/>
        <w:jc w:val="center"/>
        <w:rPr>
          <w:rFonts w:ascii="Times New Roman" w:hAnsi="Times New Roman" w:cs="Times New Roman"/>
          <w:i/>
          <w:sz w:val="24"/>
          <w:szCs w:val="24"/>
        </w:rPr>
      </w:pPr>
      <w:r w:rsidRPr="00265D8D">
        <w:rPr>
          <w:rFonts w:ascii="Times New Roman" w:hAnsi="Times New Roman" w:cs="Times New Roman"/>
          <w:i/>
          <w:sz w:val="24"/>
          <w:szCs w:val="24"/>
        </w:rPr>
        <w:t xml:space="preserve">Mutual Recognition Act 1992 </w:t>
      </w:r>
    </w:p>
    <w:p w14:paraId="180A310D" w14:textId="5C0D7AB4" w:rsidR="00C362E9" w:rsidRPr="00B31C4B" w:rsidRDefault="00C362E9" w:rsidP="00C362E9">
      <w:pPr>
        <w:spacing w:before="240" w:after="240"/>
        <w:jc w:val="center"/>
        <w:rPr>
          <w:rFonts w:ascii="Times New Roman" w:hAnsi="Times New Roman" w:cs="Times New Roman"/>
          <w:i/>
          <w:sz w:val="24"/>
          <w:szCs w:val="24"/>
        </w:rPr>
      </w:pPr>
      <w:r w:rsidRPr="00B31C4B">
        <w:rPr>
          <w:rFonts w:ascii="Times New Roman" w:hAnsi="Times New Roman" w:cs="Times New Roman"/>
          <w:i/>
          <w:sz w:val="24"/>
          <w:szCs w:val="24"/>
        </w:rPr>
        <w:t>Mutual Recognition Amendmen</w:t>
      </w:r>
      <w:r w:rsidRPr="009F6E14">
        <w:rPr>
          <w:rFonts w:ascii="Times New Roman" w:hAnsi="Times New Roman" w:cs="Times New Roman"/>
          <w:i/>
          <w:sz w:val="24"/>
          <w:szCs w:val="24"/>
        </w:rPr>
        <w:t xml:space="preserve">t </w:t>
      </w:r>
      <w:r w:rsidRPr="006A28E3">
        <w:rPr>
          <w:rFonts w:ascii="Times New Roman" w:hAnsi="Times New Roman" w:cs="Times New Roman"/>
          <w:i/>
          <w:sz w:val="24"/>
          <w:szCs w:val="24"/>
        </w:rPr>
        <w:t>(</w:t>
      </w:r>
      <w:r w:rsidR="000D60A9" w:rsidRPr="006A28E3">
        <w:rPr>
          <w:rFonts w:ascii="Times New Roman" w:hAnsi="Times New Roman" w:cs="Times New Roman"/>
          <w:i/>
          <w:sz w:val="24"/>
          <w:szCs w:val="24"/>
        </w:rPr>
        <w:t>WA</w:t>
      </w:r>
      <w:r w:rsidRPr="006A28E3">
        <w:rPr>
          <w:rFonts w:ascii="Times New Roman" w:hAnsi="Times New Roman" w:cs="Times New Roman"/>
          <w:i/>
          <w:sz w:val="24"/>
          <w:szCs w:val="24"/>
        </w:rPr>
        <w:t xml:space="preserve"> Container Deposit Scheme) Regulations</w:t>
      </w:r>
      <w:r w:rsidRPr="009F6E14">
        <w:rPr>
          <w:rFonts w:ascii="Times New Roman" w:hAnsi="Times New Roman" w:cs="Times New Roman"/>
          <w:i/>
          <w:sz w:val="24"/>
          <w:szCs w:val="24"/>
        </w:rPr>
        <w:t xml:space="preserve"> </w:t>
      </w:r>
      <w:r w:rsidR="000D60A9" w:rsidRPr="009F6E14">
        <w:rPr>
          <w:rFonts w:ascii="Times New Roman" w:hAnsi="Times New Roman" w:cs="Times New Roman"/>
          <w:i/>
          <w:sz w:val="24"/>
          <w:szCs w:val="24"/>
        </w:rPr>
        <w:t>2020</w:t>
      </w:r>
    </w:p>
    <w:p w14:paraId="5A087C30" w14:textId="77777777" w:rsidR="00C362E9" w:rsidRDefault="00C362E9" w:rsidP="00C362E9">
      <w:pPr>
        <w:spacing w:before="240" w:after="240"/>
        <w:rPr>
          <w:rFonts w:ascii="Times New Roman" w:hAnsi="Times New Roman" w:cs="Times New Roman"/>
          <w:b/>
          <w:sz w:val="24"/>
          <w:szCs w:val="24"/>
          <w:u w:val="single"/>
        </w:rPr>
      </w:pPr>
      <w:r w:rsidRPr="000D0E22">
        <w:rPr>
          <w:rFonts w:ascii="Times New Roman" w:hAnsi="Times New Roman" w:cs="Times New Roman"/>
          <w:b/>
          <w:sz w:val="24"/>
          <w:szCs w:val="24"/>
          <w:u w:val="single"/>
        </w:rPr>
        <w:t>Purpose and Operation</w:t>
      </w:r>
    </w:p>
    <w:p w14:paraId="12912DAF" w14:textId="4570CBFA" w:rsidR="00C362E9" w:rsidRPr="00E225BF" w:rsidRDefault="00C362E9" w:rsidP="00C362E9">
      <w:pPr>
        <w:spacing w:after="240"/>
        <w:rPr>
          <w:rFonts w:ascii="Times New Roman" w:hAnsi="Times New Roman"/>
          <w:sz w:val="24"/>
          <w:szCs w:val="24"/>
          <w:lang w:val="en-US"/>
        </w:rPr>
      </w:pPr>
      <w:r w:rsidRPr="00E225BF">
        <w:rPr>
          <w:rFonts w:ascii="Times New Roman" w:hAnsi="Times New Roman"/>
          <w:sz w:val="24"/>
          <w:szCs w:val="24"/>
          <w:lang w:val="en-US"/>
        </w:rPr>
        <w:t xml:space="preserve">The </w:t>
      </w:r>
      <w:r w:rsidRPr="0038320B">
        <w:rPr>
          <w:rFonts w:ascii="Times New Roman" w:hAnsi="Times New Roman"/>
          <w:i/>
          <w:sz w:val="24"/>
          <w:szCs w:val="24"/>
          <w:lang w:val="en-US"/>
        </w:rPr>
        <w:t>Mutual Recognition Act 199</w:t>
      </w:r>
      <w:r>
        <w:rPr>
          <w:rFonts w:ascii="Times New Roman" w:hAnsi="Times New Roman"/>
          <w:i/>
          <w:sz w:val="24"/>
          <w:szCs w:val="24"/>
          <w:lang w:val="en-US"/>
        </w:rPr>
        <w:t>2</w:t>
      </w:r>
      <w:r w:rsidRPr="0038320B">
        <w:rPr>
          <w:rFonts w:ascii="Times New Roman" w:hAnsi="Times New Roman"/>
          <w:i/>
          <w:sz w:val="24"/>
          <w:szCs w:val="24"/>
          <w:lang w:val="en-US"/>
        </w:rPr>
        <w:t xml:space="preserve"> </w:t>
      </w:r>
      <w:r>
        <w:rPr>
          <w:rFonts w:ascii="Times New Roman" w:hAnsi="Times New Roman"/>
          <w:sz w:val="24"/>
          <w:szCs w:val="24"/>
          <w:lang w:val="en-US"/>
        </w:rPr>
        <w:t>(the Act) gives</w:t>
      </w:r>
      <w:r w:rsidRPr="00E225BF">
        <w:rPr>
          <w:rFonts w:ascii="Times New Roman" w:hAnsi="Times New Roman"/>
          <w:sz w:val="24"/>
          <w:szCs w:val="24"/>
          <w:lang w:val="en-US"/>
        </w:rPr>
        <w:t xml:space="preserve"> effect to the mutual recognition principles adopted by the Commonwealth</w:t>
      </w:r>
      <w:r>
        <w:rPr>
          <w:rFonts w:ascii="Times New Roman" w:hAnsi="Times New Roman"/>
          <w:sz w:val="24"/>
          <w:szCs w:val="24"/>
          <w:lang w:val="en-US"/>
        </w:rPr>
        <w:t xml:space="preserve"> and</w:t>
      </w:r>
      <w:r w:rsidRPr="00E225BF">
        <w:rPr>
          <w:rFonts w:ascii="Times New Roman" w:hAnsi="Times New Roman"/>
          <w:sz w:val="24"/>
          <w:szCs w:val="24"/>
          <w:lang w:val="en-US"/>
        </w:rPr>
        <w:t xml:space="preserve"> </w:t>
      </w:r>
      <w:r>
        <w:rPr>
          <w:rFonts w:ascii="Times New Roman" w:hAnsi="Times New Roman"/>
          <w:sz w:val="24"/>
          <w:szCs w:val="24"/>
          <w:lang w:val="en-US"/>
        </w:rPr>
        <w:t>State and</w:t>
      </w:r>
      <w:r w:rsidRPr="00E225BF">
        <w:rPr>
          <w:rFonts w:ascii="Times New Roman" w:hAnsi="Times New Roman"/>
          <w:sz w:val="24"/>
          <w:szCs w:val="24"/>
          <w:lang w:val="en-US"/>
        </w:rPr>
        <w:t xml:space="preserve"> Territory Governments of Australia</w:t>
      </w:r>
      <w:r>
        <w:rPr>
          <w:rFonts w:ascii="Times New Roman" w:hAnsi="Times New Roman"/>
          <w:sz w:val="24"/>
          <w:szCs w:val="24"/>
          <w:lang w:val="en-US"/>
        </w:rPr>
        <w:t xml:space="preserve"> </w:t>
      </w:r>
      <w:r w:rsidRPr="00E225BF">
        <w:rPr>
          <w:rFonts w:ascii="Times New Roman" w:hAnsi="Times New Roman"/>
          <w:sz w:val="24"/>
          <w:szCs w:val="24"/>
          <w:lang w:val="en-US"/>
        </w:rPr>
        <w:t>relating to the sale of goods and th</w:t>
      </w:r>
      <w:r>
        <w:rPr>
          <w:rFonts w:ascii="Times New Roman" w:hAnsi="Times New Roman"/>
          <w:sz w:val="24"/>
          <w:szCs w:val="24"/>
          <w:lang w:val="en-US"/>
        </w:rPr>
        <w:t xml:space="preserve">e registration of occupations. </w:t>
      </w:r>
      <w:r w:rsidRPr="00E225BF">
        <w:rPr>
          <w:rFonts w:ascii="Times New Roman" w:hAnsi="Times New Roman"/>
          <w:sz w:val="24"/>
          <w:szCs w:val="24"/>
          <w:lang w:val="en-US"/>
        </w:rPr>
        <w:t>By way of example</w:t>
      </w:r>
      <w:r>
        <w:rPr>
          <w:rFonts w:ascii="Times New Roman" w:hAnsi="Times New Roman"/>
          <w:sz w:val="24"/>
          <w:szCs w:val="24"/>
          <w:lang w:val="en-US"/>
        </w:rPr>
        <w:t>,</w:t>
      </w:r>
      <w:r w:rsidRPr="00E225BF">
        <w:rPr>
          <w:rFonts w:ascii="Times New Roman" w:hAnsi="Times New Roman"/>
          <w:sz w:val="24"/>
          <w:szCs w:val="24"/>
          <w:lang w:val="en-US"/>
        </w:rPr>
        <w:t xml:space="preserve"> with respect to goods, </w:t>
      </w:r>
      <w:r>
        <w:rPr>
          <w:rFonts w:ascii="Times New Roman" w:hAnsi="Times New Roman"/>
          <w:sz w:val="24"/>
          <w:szCs w:val="24"/>
          <w:lang w:val="en-US"/>
        </w:rPr>
        <w:t>the mutual recognition principles apply</w:t>
      </w:r>
      <w:r w:rsidRPr="00E225BF">
        <w:rPr>
          <w:rFonts w:ascii="Times New Roman" w:hAnsi="Times New Roman"/>
          <w:sz w:val="24"/>
          <w:szCs w:val="24"/>
          <w:lang w:val="en-US"/>
        </w:rPr>
        <w:t xml:space="preserve"> such that a good that can be sold legally in </w:t>
      </w:r>
      <w:r>
        <w:rPr>
          <w:rFonts w:ascii="Times New Roman" w:hAnsi="Times New Roman"/>
          <w:sz w:val="24"/>
          <w:szCs w:val="24"/>
          <w:lang w:val="en-US"/>
        </w:rPr>
        <w:t xml:space="preserve">Victoria </w:t>
      </w:r>
      <w:r w:rsidRPr="00E225BF">
        <w:rPr>
          <w:rFonts w:ascii="Times New Roman" w:hAnsi="Times New Roman"/>
          <w:sz w:val="24"/>
          <w:szCs w:val="24"/>
          <w:lang w:val="en-US"/>
        </w:rPr>
        <w:t xml:space="preserve">may be imported and sold legally in </w:t>
      </w:r>
      <w:r w:rsidR="009F6E14">
        <w:rPr>
          <w:rFonts w:ascii="Times New Roman" w:hAnsi="Times New Roman"/>
          <w:sz w:val="24"/>
          <w:szCs w:val="24"/>
          <w:lang w:val="en-US"/>
        </w:rPr>
        <w:t xml:space="preserve">Western Australia </w:t>
      </w:r>
      <w:r>
        <w:rPr>
          <w:rFonts w:ascii="Times New Roman" w:hAnsi="Times New Roman"/>
          <w:sz w:val="24"/>
          <w:szCs w:val="24"/>
          <w:lang w:val="en-US"/>
        </w:rPr>
        <w:t>(</w:t>
      </w:r>
      <w:r w:rsidR="009F6E14">
        <w:rPr>
          <w:rFonts w:ascii="Times New Roman" w:hAnsi="Times New Roman"/>
          <w:sz w:val="24"/>
          <w:szCs w:val="24"/>
          <w:lang w:val="en-US"/>
        </w:rPr>
        <w:t>WA)</w:t>
      </w:r>
      <w:r w:rsidRPr="00E225BF">
        <w:rPr>
          <w:rFonts w:ascii="Times New Roman" w:hAnsi="Times New Roman"/>
          <w:sz w:val="24"/>
          <w:szCs w:val="24"/>
          <w:lang w:val="en-US"/>
        </w:rPr>
        <w:t xml:space="preserve"> despite the regulatory standards that would ot</w:t>
      </w:r>
      <w:r>
        <w:rPr>
          <w:rFonts w:ascii="Times New Roman" w:hAnsi="Times New Roman"/>
          <w:sz w:val="24"/>
          <w:szCs w:val="24"/>
          <w:lang w:val="en-US"/>
        </w:rPr>
        <w:t xml:space="preserve">herwise apply to the good in </w:t>
      </w:r>
      <w:r w:rsidR="009F6E14">
        <w:rPr>
          <w:rFonts w:ascii="Times New Roman" w:hAnsi="Times New Roman"/>
          <w:sz w:val="24"/>
          <w:szCs w:val="24"/>
          <w:lang w:val="en-US"/>
        </w:rPr>
        <w:t>WA</w:t>
      </w:r>
      <w:r w:rsidRPr="00E225BF">
        <w:rPr>
          <w:rFonts w:ascii="Times New Roman" w:hAnsi="Times New Roman"/>
          <w:sz w:val="24"/>
          <w:szCs w:val="24"/>
          <w:lang w:val="en-US"/>
        </w:rPr>
        <w:t>.</w:t>
      </w:r>
    </w:p>
    <w:p w14:paraId="732E04D8" w14:textId="3277480E" w:rsidR="00CF34D3" w:rsidRDefault="007C19F5" w:rsidP="00CE2ACE">
      <w:pPr>
        <w:spacing w:before="120" w:after="120"/>
        <w:contextualSpacing/>
        <w:mirrorIndents/>
        <w:rPr>
          <w:rFonts w:ascii="Times New Roman" w:hAnsi="Times New Roman"/>
          <w:sz w:val="24"/>
          <w:szCs w:val="24"/>
          <w:lang w:val="en-US"/>
        </w:rPr>
      </w:pPr>
      <w:r w:rsidRPr="007C19F5">
        <w:rPr>
          <w:rFonts w:ascii="Times New Roman" w:hAnsi="Times New Roman"/>
          <w:sz w:val="24"/>
          <w:szCs w:val="24"/>
          <w:lang w:val="en-US"/>
        </w:rPr>
        <w:t>The Act enshrines the principle that goods legally sold in one jurisdiction can be legally sold in the others, without having to meet further requirements imposed by individual jurisdictions (where they differ in regulatory requirements). The Act provides for exceptions to the mutual recognition principle, as well as provisions for permanent and temporary exemptions from the Act. Schedule 2 of the Act lists laws relating to goods that are permanently exempt from the operation of the Act.</w:t>
      </w:r>
    </w:p>
    <w:p w14:paraId="25142232" w14:textId="77777777" w:rsidR="007C19F5" w:rsidRDefault="007C19F5" w:rsidP="00CE2ACE">
      <w:pPr>
        <w:spacing w:before="120" w:after="120"/>
        <w:contextualSpacing/>
        <w:mirrorIndents/>
        <w:rPr>
          <w:rFonts w:ascii="Times New Roman" w:hAnsi="Times New Roman"/>
          <w:sz w:val="24"/>
          <w:szCs w:val="24"/>
          <w:lang w:val="en-US"/>
        </w:rPr>
      </w:pPr>
    </w:p>
    <w:p w14:paraId="2819D3D2" w14:textId="3E2A2DDB" w:rsidR="00CE2ACE" w:rsidRDefault="00C362E9" w:rsidP="00CE2ACE">
      <w:pPr>
        <w:spacing w:before="120" w:after="120"/>
        <w:contextualSpacing/>
        <w:mirrorIndents/>
        <w:rPr>
          <w:rFonts w:ascii="Times New Roman" w:hAnsi="Times New Roman" w:cs="Times New Roman"/>
          <w:sz w:val="24"/>
          <w:szCs w:val="24"/>
        </w:rPr>
      </w:pPr>
      <w:r>
        <w:rPr>
          <w:rFonts w:ascii="Times New Roman" w:hAnsi="Times New Roman"/>
          <w:sz w:val="24"/>
          <w:szCs w:val="24"/>
          <w:lang w:val="en-US"/>
        </w:rPr>
        <w:t xml:space="preserve">The </w:t>
      </w:r>
      <w:r w:rsidRPr="006A28E3">
        <w:rPr>
          <w:rFonts w:ascii="Times New Roman" w:hAnsi="Times New Roman"/>
          <w:i/>
          <w:sz w:val="24"/>
          <w:szCs w:val="24"/>
          <w:lang w:val="en-US"/>
        </w:rPr>
        <w:t>Mutual Recognition Amendment (</w:t>
      </w:r>
      <w:r w:rsidR="009F6E14" w:rsidRPr="006A28E3">
        <w:rPr>
          <w:rFonts w:ascii="Times New Roman" w:hAnsi="Times New Roman"/>
          <w:i/>
          <w:sz w:val="24"/>
          <w:szCs w:val="24"/>
          <w:lang w:val="en-US"/>
        </w:rPr>
        <w:t xml:space="preserve">WA </w:t>
      </w:r>
      <w:r w:rsidRPr="006A28E3">
        <w:rPr>
          <w:rFonts w:ascii="Times New Roman" w:hAnsi="Times New Roman"/>
          <w:i/>
          <w:sz w:val="24"/>
          <w:szCs w:val="24"/>
          <w:lang w:val="en-US"/>
        </w:rPr>
        <w:t>Container Deposit Scheme) Regulations 20</w:t>
      </w:r>
      <w:r w:rsidR="009F6E14" w:rsidRPr="006A28E3">
        <w:rPr>
          <w:rFonts w:ascii="Times New Roman" w:hAnsi="Times New Roman"/>
          <w:i/>
          <w:sz w:val="24"/>
          <w:szCs w:val="24"/>
          <w:lang w:val="en-US"/>
        </w:rPr>
        <w:t>20</w:t>
      </w:r>
      <w:r w:rsidRPr="009F6E14">
        <w:rPr>
          <w:rFonts w:ascii="Times New Roman" w:hAnsi="Times New Roman"/>
          <w:sz w:val="24"/>
          <w:szCs w:val="24"/>
          <w:lang w:val="en-US"/>
        </w:rPr>
        <w:t xml:space="preserve"> </w:t>
      </w:r>
      <w:r w:rsidR="00CE2ACE">
        <w:rPr>
          <w:rFonts w:ascii="Times New Roman" w:hAnsi="Times New Roman"/>
          <w:sz w:val="24"/>
          <w:szCs w:val="24"/>
          <w:lang w:val="en-US"/>
        </w:rPr>
        <w:t xml:space="preserve">(the Regulations) </w:t>
      </w:r>
      <w:r w:rsidR="00CE2ACE">
        <w:rPr>
          <w:rFonts w:ascii="Times New Roman" w:hAnsi="Times New Roman" w:cs="Times New Roman"/>
          <w:sz w:val="24"/>
          <w:szCs w:val="24"/>
        </w:rPr>
        <w:t xml:space="preserve">amend Schedule 2 of the Act, </w:t>
      </w:r>
      <w:bookmarkStart w:id="0" w:name="_GoBack"/>
      <w:r w:rsidR="00CE2ACE">
        <w:rPr>
          <w:rFonts w:ascii="Times New Roman" w:hAnsi="Times New Roman" w:cs="Times New Roman"/>
          <w:sz w:val="24"/>
          <w:szCs w:val="24"/>
        </w:rPr>
        <w:t>which lists laws relating to goods that are permanently exempt from the operation of the Act</w:t>
      </w:r>
      <w:bookmarkEnd w:id="0"/>
      <w:r w:rsidR="00CE2ACE">
        <w:rPr>
          <w:rFonts w:ascii="Times New Roman" w:hAnsi="Times New Roman" w:cs="Times New Roman"/>
          <w:sz w:val="24"/>
          <w:szCs w:val="24"/>
        </w:rPr>
        <w:t>. The</w:t>
      </w:r>
      <w:r w:rsidR="00CE2ACE" w:rsidRPr="00D066F8">
        <w:rPr>
          <w:rFonts w:ascii="Times New Roman" w:hAnsi="Times New Roman" w:cs="Times New Roman"/>
          <w:sz w:val="24"/>
          <w:szCs w:val="24"/>
        </w:rPr>
        <w:t xml:space="preserve"> </w:t>
      </w:r>
      <w:r w:rsidR="00CE2ACE">
        <w:rPr>
          <w:rFonts w:ascii="Times New Roman" w:hAnsi="Times New Roman" w:cs="Times New Roman"/>
          <w:sz w:val="24"/>
          <w:szCs w:val="24"/>
        </w:rPr>
        <w:t xml:space="preserve">Regulations insert the </w:t>
      </w:r>
      <w:r w:rsidR="00CE2ACE" w:rsidRPr="00D066F8">
        <w:rPr>
          <w:rFonts w:ascii="Times New Roman" w:hAnsi="Times New Roman" w:cs="Times New Roman"/>
          <w:sz w:val="24"/>
          <w:szCs w:val="24"/>
        </w:rPr>
        <w:t xml:space="preserve">following </w:t>
      </w:r>
      <w:r w:rsidR="00CE2ACE">
        <w:rPr>
          <w:rFonts w:ascii="Times New Roman" w:hAnsi="Times New Roman" w:cs="Times New Roman"/>
          <w:sz w:val="24"/>
          <w:szCs w:val="24"/>
        </w:rPr>
        <w:t xml:space="preserve">to Schedule 2 to </w:t>
      </w:r>
      <w:r w:rsidR="00CE2ACE" w:rsidRPr="00D066F8">
        <w:rPr>
          <w:rFonts w:ascii="Times New Roman" w:hAnsi="Times New Roman" w:cs="Times New Roman"/>
          <w:sz w:val="24"/>
          <w:szCs w:val="24"/>
        </w:rPr>
        <w:t>permanently exempt</w:t>
      </w:r>
      <w:r w:rsidR="00CE2ACE">
        <w:rPr>
          <w:rFonts w:ascii="Times New Roman" w:hAnsi="Times New Roman" w:cs="Times New Roman"/>
          <w:sz w:val="24"/>
          <w:szCs w:val="24"/>
        </w:rPr>
        <w:t xml:space="preserve"> the listed WA legislations</w:t>
      </w:r>
      <w:r w:rsidR="00CE2ACE" w:rsidRPr="00D066F8">
        <w:rPr>
          <w:rFonts w:ascii="Times New Roman" w:hAnsi="Times New Roman" w:cs="Times New Roman"/>
          <w:sz w:val="24"/>
          <w:szCs w:val="24"/>
        </w:rPr>
        <w:t xml:space="preserve"> from the operation of the </w:t>
      </w:r>
      <w:r w:rsidR="00CE2ACE">
        <w:rPr>
          <w:rFonts w:ascii="Times New Roman" w:hAnsi="Times New Roman" w:cs="Times New Roman"/>
          <w:sz w:val="24"/>
          <w:szCs w:val="24"/>
        </w:rPr>
        <w:t>Act</w:t>
      </w:r>
      <w:r w:rsidR="00CE2ACE" w:rsidRPr="00D066F8">
        <w:rPr>
          <w:rFonts w:ascii="Times New Roman" w:hAnsi="Times New Roman" w:cs="Times New Roman"/>
          <w:sz w:val="24"/>
          <w:szCs w:val="24"/>
        </w:rPr>
        <w:t>:</w:t>
      </w:r>
    </w:p>
    <w:p w14:paraId="01DFF8D5" w14:textId="77777777" w:rsidR="00CE2ACE" w:rsidRDefault="00CE2ACE" w:rsidP="00CE2ACE">
      <w:pPr>
        <w:spacing w:before="120" w:after="120"/>
        <w:contextualSpacing/>
        <w:mirrorIndents/>
        <w:rPr>
          <w:rFonts w:ascii="Times New Roman" w:hAnsi="Times New Roman" w:cs="Times New Roman"/>
          <w:sz w:val="24"/>
          <w:szCs w:val="24"/>
        </w:rPr>
      </w:pPr>
    </w:p>
    <w:p w14:paraId="0859B92E" w14:textId="77777777" w:rsidR="00CE2ACE" w:rsidRPr="00B31C4B" w:rsidRDefault="00CE2ACE" w:rsidP="00CE2ACE">
      <w:pPr>
        <w:spacing w:before="120" w:after="120" w:line="240" w:lineRule="auto"/>
        <w:contextualSpacing/>
        <w:mirrorIndents/>
        <w:rPr>
          <w:rFonts w:ascii="Times New Roman" w:hAnsi="Times New Roman" w:cs="Times New Roman"/>
          <w:sz w:val="24"/>
          <w:szCs w:val="24"/>
        </w:rPr>
      </w:pPr>
      <w:r w:rsidRPr="00B31C4B">
        <w:rPr>
          <w:rFonts w:ascii="Times New Roman" w:hAnsi="Times New Roman" w:cs="Times New Roman"/>
          <w:sz w:val="24"/>
          <w:szCs w:val="24"/>
        </w:rPr>
        <w:t xml:space="preserve">(a) Part </w:t>
      </w:r>
      <w:r>
        <w:rPr>
          <w:rFonts w:ascii="Times New Roman" w:hAnsi="Times New Roman" w:cs="Times New Roman"/>
          <w:sz w:val="24"/>
          <w:szCs w:val="24"/>
        </w:rPr>
        <w:t>5</w:t>
      </w:r>
      <w:r w:rsidRPr="00B31C4B">
        <w:rPr>
          <w:rFonts w:ascii="Times New Roman" w:hAnsi="Times New Roman" w:cs="Times New Roman"/>
          <w:sz w:val="24"/>
          <w:szCs w:val="24"/>
        </w:rPr>
        <w:t xml:space="preserve">A of </w:t>
      </w:r>
      <w:r w:rsidRPr="009F6E14">
        <w:rPr>
          <w:rFonts w:ascii="Times New Roman" w:hAnsi="Times New Roman" w:cs="Times New Roman"/>
          <w:sz w:val="24"/>
          <w:szCs w:val="24"/>
        </w:rPr>
        <w:t xml:space="preserve">the </w:t>
      </w:r>
      <w:r w:rsidRPr="009F6E14">
        <w:rPr>
          <w:rFonts w:ascii="Times New Roman" w:hAnsi="Times New Roman" w:cs="Times New Roman"/>
          <w:i/>
          <w:iCs/>
          <w:sz w:val="24"/>
          <w:szCs w:val="24"/>
        </w:rPr>
        <w:t xml:space="preserve">Waste </w:t>
      </w:r>
      <w:r w:rsidRPr="006A28E3">
        <w:rPr>
          <w:rFonts w:ascii="Times New Roman" w:hAnsi="Times New Roman" w:cs="Times New Roman"/>
          <w:i/>
          <w:iCs/>
          <w:sz w:val="24"/>
          <w:szCs w:val="24"/>
        </w:rPr>
        <w:t xml:space="preserve">Avoidance and </w:t>
      </w:r>
      <w:r w:rsidRPr="009F6E14">
        <w:rPr>
          <w:rFonts w:ascii="Times New Roman" w:hAnsi="Times New Roman" w:cs="Times New Roman"/>
          <w:i/>
          <w:iCs/>
          <w:sz w:val="24"/>
          <w:szCs w:val="24"/>
        </w:rPr>
        <w:t>Resource Recovery Act 20</w:t>
      </w:r>
      <w:r w:rsidRPr="006A28E3">
        <w:rPr>
          <w:rFonts w:ascii="Times New Roman" w:hAnsi="Times New Roman" w:cs="Times New Roman"/>
          <w:i/>
          <w:iCs/>
          <w:sz w:val="24"/>
          <w:szCs w:val="24"/>
        </w:rPr>
        <w:t>07</w:t>
      </w:r>
      <w:r w:rsidRPr="009F6E14">
        <w:rPr>
          <w:rFonts w:ascii="Times New Roman" w:hAnsi="Times New Roman" w:cs="Times New Roman"/>
          <w:i/>
          <w:iCs/>
          <w:sz w:val="24"/>
          <w:szCs w:val="24"/>
        </w:rPr>
        <w:t xml:space="preserve"> </w:t>
      </w:r>
      <w:r w:rsidRPr="00580B1A">
        <w:rPr>
          <w:rFonts w:ascii="Times New Roman" w:hAnsi="Times New Roman" w:cs="Times New Roman"/>
          <w:iCs/>
          <w:sz w:val="24"/>
          <w:szCs w:val="24"/>
        </w:rPr>
        <w:t>(WA)</w:t>
      </w:r>
      <w:r w:rsidRPr="009F6E14">
        <w:rPr>
          <w:rFonts w:ascii="Times New Roman" w:hAnsi="Times New Roman" w:cs="Times New Roman"/>
          <w:sz w:val="24"/>
          <w:szCs w:val="24"/>
        </w:rPr>
        <w:t>;</w:t>
      </w:r>
      <w:r w:rsidRPr="00B31C4B">
        <w:rPr>
          <w:rFonts w:ascii="Times New Roman" w:hAnsi="Times New Roman" w:cs="Times New Roman"/>
          <w:sz w:val="24"/>
          <w:szCs w:val="24"/>
        </w:rPr>
        <w:t xml:space="preserve"> </w:t>
      </w:r>
    </w:p>
    <w:p w14:paraId="7521DD39" w14:textId="77777777" w:rsidR="00CE2ACE" w:rsidRPr="00B31C4B" w:rsidRDefault="00CE2ACE" w:rsidP="00CE2ACE">
      <w:pPr>
        <w:pStyle w:val="Default"/>
      </w:pPr>
      <w:r w:rsidRPr="00B31C4B">
        <w:t xml:space="preserve">(b) all other provisions of that Act, to the extent that they relate to the container deposit scheme established by that Part; </w:t>
      </w:r>
    </w:p>
    <w:p w14:paraId="2F30B76E" w14:textId="77777777" w:rsidR="00CE2ACE" w:rsidRPr="00B31C4B" w:rsidRDefault="00CE2ACE" w:rsidP="00CE2ACE">
      <w:pPr>
        <w:pStyle w:val="Default"/>
      </w:pPr>
      <w:r w:rsidRPr="00B31C4B">
        <w:t>(c) regulations made under that Act, to the extent that they relate to that scheme</w:t>
      </w:r>
      <w:r>
        <w:t>.</w:t>
      </w:r>
    </w:p>
    <w:p w14:paraId="6E7199EB" w14:textId="77777777" w:rsidR="007C19F5" w:rsidRDefault="007C19F5" w:rsidP="00124A11">
      <w:pPr>
        <w:spacing w:before="120" w:after="120"/>
        <w:contextualSpacing/>
        <w:mirrorIndents/>
        <w:rPr>
          <w:rFonts w:ascii="Times New Roman" w:hAnsi="Times New Roman"/>
          <w:sz w:val="24"/>
          <w:szCs w:val="24"/>
          <w:lang w:val="en-US"/>
        </w:rPr>
      </w:pPr>
    </w:p>
    <w:p w14:paraId="1DE34EF0" w14:textId="65017232" w:rsidR="00124A11" w:rsidRDefault="00CE2ACE" w:rsidP="00124A11">
      <w:pPr>
        <w:spacing w:before="120" w:after="120"/>
        <w:contextualSpacing/>
        <w:mirrorIndents/>
        <w:rPr>
          <w:rFonts w:ascii="Times New Roman" w:hAnsi="Times New Roman"/>
          <w:sz w:val="24"/>
          <w:szCs w:val="24"/>
          <w:lang w:val="en-US"/>
        </w:rPr>
      </w:pPr>
      <w:r w:rsidRPr="00CE2ACE">
        <w:rPr>
          <w:rFonts w:ascii="Times New Roman" w:hAnsi="Times New Roman"/>
          <w:sz w:val="24"/>
          <w:szCs w:val="24"/>
          <w:lang w:val="en-US"/>
        </w:rPr>
        <w:t xml:space="preserve">This means that containers that are imported into WA from other State and Territories will have to comply with the WA Container Deposit Scheme legislation (the Scheme). </w:t>
      </w:r>
      <w:r w:rsidR="00124A11" w:rsidRPr="00EB2FEF">
        <w:rPr>
          <w:rFonts w:ascii="Times New Roman" w:hAnsi="Times New Roman"/>
          <w:sz w:val="24"/>
          <w:szCs w:val="24"/>
          <w:lang w:val="en-US"/>
        </w:rPr>
        <w:t xml:space="preserve">Under the </w:t>
      </w:r>
      <w:r w:rsidR="00124A11" w:rsidRPr="00972795">
        <w:rPr>
          <w:rFonts w:ascii="Times New Roman" w:hAnsi="Times New Roman"/>
          <w:sz w:val="24"/>
          <w:szCs w:val="24"/>
          <w:lang w:val="en-US"/>
        </w:rPr>
        <w:t>Scheme</w:t>
      </w:r>
      <w:r w:rsidR="00124A11" w:rsidRPr="00EB2FEF">
        <w:rPr>
          <w:rFonts w:ascii="Times New Roman" w:hAnsi="Times New Roman"/>
          <w:sz w:val="24"/>
          <w:szCs w:val="24"/>
          <w:lang w:val="en-US"/>
        </w:rPr>
        <w:t>, in order to obtain an approval to supply a beverage product in WA</w:t>
      </w:r>
      <w:r w:rsidR="00972795">
        <w:rPr>
          <w:rFonts w:ascii="Times New Roman" w:hAnsi="Times New Roman"/>
          <w:sz w:val="24"/>
          <w:szCs w:val="24"/>
          <w:lang w:val="en-US"/>
        </w:rPr>
        <w:t>,</w:t>
      </w:r>
      <w:r w:rsidR="00124A11" w:rsidRPr="00EB2FEF">
        <w:rPr>
          <w:rFonts w:ascii="Times New Roman" w:hAnsi="Times New Roman"/>
          <w:sz w:val="24"/>
          <w:szCs w:val="24"/>
          <w:lang w:val="en-US"/>
        </w:rPr>
        <w:t xml:space="preserve"> the relevant container is required to bear the approved refund marking after the transition day. In considering whether to grant a container approval for the beverage product, the State will consider whether effective waste management arrangements are in place for the relevant container. </w:t>
      </w:r>
    </w:p>
    <w:p w14:paraId="324DADF2" w14:textId="77777777" w:rsidR="00124A11" w:rsidRPr="00EB2FEF" w:rsidRDefault="00124A11" w:rsidP="00124A11">
      <w:pPr>
        <w:spacing w:before="120" w:after="120"/>
        <w:contextualSpacing/>
        <w:mirrorIndents/>
        <w:rPr>
          <w:rFonts w:ascii="Times New Roman" w:hAnsi="Times New Roman"/>
          <w:sz w:val="24"/>
          <w:szCs w:val="24"/>
          <w:lang w:val="en-US"/>
        </w:rPr>
      </w:pPr>
    </w:p>
    <w:p w14:paraId="5C9B3113" w14:textId="7CBB5F42" w:rsidR="002B5124" w:rsidRDefault="00D136AC" w:rsidP="002B5124">
      <w:pPr>
        <w:spacing w:before="120" w:after="120"/>
        <w:contextualSpacing/>
        <w:mirrorIndents/>
        <w:rPr>
          <w:rFonts w:ascii="Times New Roman" w:hAnsi="Times New Roman"/>
          <w:sz w:val="24"/>
          <w:szCs w:val="24"/>
          <w:lang w:val="en-US"/>
        </w:rPr>
      </w:pPr>
      <w:r w:rsidRPr="00EB2FEF">
        <w:rPr>
          <w:rFonts w:ascii="Times New Roman" w:hAnsi="Times New Roman"/>
          <w:sz w:val="24"/>
          <w:szCs w:val="24"/>
          <w:lang w:val="en-US"/>
        </w:rPr>
        <w:t xml:space="preserve">Under the </w:t>
      </w:r>
      <w:r>
        <w:rPr>
          <w:rFonts w:ascii="Times New Roman" w:hAnsi="Times New Roman"/>
          <w:sz w:val="24"/>
          <w:szCs w:val="24"/>
          <w:lang w:val="en-US"/>
        </w:rPr>
        <w:t>S</w:t>
      </w:r>
      <w:r w:rsidRPr="00EB2FEF">
        <w:rPr>
          <w:rFonts w:ascii="Times New Roman" w:hAnsi="Times New Roman"/>
          <w:sz w:val="24"/>
          <w:szCs w:val="24"/>
          <w:lang w:val="en-US"/>
        </w:rPr>
        <w:t>cheme</w:t>
      </w:r>
      <w:r>
        <w:rPr>
          <w:rFonts w:ascii="Times New Roman" w:hAnsi="Times New Roman"/>
          <w:sz w:val="24"/>
          <w:szCs w:val="24"/>
          <w:lang w:val="en-US"/>
        </w:rPr>
        <w:t>, a</w:t>
      </w:r>
      <w:r w:rsidR="002B5124" w:rsidRPr="00EB2FEF">
        <w:rPr>
          <w:rFonts w:ascii="Times New Roman" w:hAnsi="Times New Roman"/>
          <w:sz w:val="24"/>
          <w:szCs w:val="24"/>
          <w:lang w:val="en-US"/>
        </w:rPr>
        <w:t xml:space="preserve">n eligible company, appointed as Coordinator by the relevant Minister, will make arrangements for the collection, sorting and aggregation of the containers and their reuse, recycling or other appropriate disposal. </w:t>
      </w:r>
      <w:r>
        <w:rPr>
          <w:rFonts w:ascii="Times New Roman" w:hAnsi="Times New Roman"/>
          <w:sz w:val="24"/>
          <w:szCs w:val="24"/>
          <w:lang w:val="en-US"/>
        </w:rPr>
        <w:t>E</w:t>
      </w:r>
      <w:r w:rsidR="002B5124" w:rsidRPr="00EB2FEF">
        <w:rPr>
          <w:rFonts w:ascii="Times New Roman" w:hAnsi="Times New Roman"/>
          <w:sz w:val="24"/>
          <w:szCs w:val="24"/>
          <w:lang w:val="en-US"/>
        </w:rPr>
        <w:t xml:space="preserve">mpty containers, which are subject to an </w:t>
      </w:r>
      <w:r w:rsidR="002B5124" w:rsidRPr="00EB2FEF">
        <w:rPr>
          <w:rFonts w:ascii="Times New Roman" w:hAnsi="Times New Roman"/>
          <w:sz w:val="24"/>
          <w:szCs w:val="24"/>
          <w:lang w:val="en-US"/>
        </w:rPr>
        <w:lastRenderedPageBreak/>
        <w:t>approval, can be delivered to an approved collection depot for the consumer to receive a 10c refund per container.</w:t>
      </w:r>
    </w:p>
    <w:p w14:paraId="1C1F94C2" w14:textId="77777777" w:rsidR="002B5124" w:rsidRDefault="002B5124" w:rsidP="00C362E9">
      <w:pPr>
        <w:spacing w:before="120" w:after="120"/>
        <w:contextualSpacing/>
        <w:mirrorIndents/>
        <w:rPr>
          <w:rFonts w:ascii="Times New Roman" w:hAnsi="Times New Roman" w:cs="Times New Roman"/>
          <w:sz w:val="24"/>
          <w:szCs w:val="24"/>
          <w:lang w:val="en-US"/>
        </w:rPr>
      </w:pPr>
    </w:p>
    <w:p w14:paraId="25E0D5F1" w14:textId="77777777" w:rsidR="00C362E9" w:rsidRDefault="00C362E9" w:rsidP="00C362E9">
      <w:pPr>
        <w:spacing w:before="240" w:after="240"/>
        <w:rPr>
          <w:rFonts w:ascii="Times New Roman" w:hAnsi="Times New Roman" w:cs="Times New Roman"/>
          <w:b/>
          <w:sz w:val="24"/>
          <w:szCs w:val="24"/>
          <w:u w:val="single"/>
        </w:rPr>
      </w:pPr>
      <w:r>
        <w:rPr>
          <w:rFonts w:ascii="Times New Roman" w:hAnsi="Times New Roman" w:cs="Times New Roman"/>
          <w:b/>
          <w:sz w:val="24"/>
          <w:szCs w:val="24"/>
          <w:u w:val="single"/>
        </w:rPr>
        <w:t>Authority</w:t>
      </w:r>
    </w:p>
    <w:p w14:paraId="3D7C42D0" w14:textId="576C60F4" w:rsidR="00C362E9" w:rsidRPr="00D066F8" w:rsidRDefault="00C362E9" w:rsidP="00C362E9">
      <w:pPr>
        <w:spacing w:before="120" w:after="120"/>
        <w:rPr>
          <w:rFonts w:ascii="Times New Roman" w:hAnsi="Times New Roman" w:cs="Times New Roman"/>
          <w:sz w:val="24"/>
          <w:szCs w:val="24"/>
          <w:lang w:val="en-US"/>
        </w:rPr>
      </w:pPr>
      <w:r>
        <w:rPr>
          <w:rFonts w:ascii="Times New Roman" w:hAnsi="Times New Roman" w:cs="Times New Roman"/>
          <w:sz w:val="24"/>
          <w:szCs w:val="24"/>
          <w:lang w:val="en-US"/>
        </w:rPr>
        <w:t xml:space="preserve">Subsection 47(1) of the Act provides that the Governor-General may make regulations to amend </w:t>
      </w:r>
      <w:r w:rsidR="00D136AC">
        <w:rPr>
          <w:rFonts w:ascii="Times New Roman" w:hAnsi="Times New Roman" w:cs="Times New Roman"/>
          <w:sz w:val="24"/>
          <w:szCs w:val="24"/>
          <w:lang w:val="en-US"/>
        </w:rPr>
        <w:t xml:space="preserve">the </w:t>
      </w:r>
      <w:r>
        <w:rPr>
          <w:rFonts w:ascii="Times New Roman" w:hAnsi="Times New Roman" w:cs="Times New Roman"/>
          <w:sz w:val="24"/>
          <w:szCs w:val="24"/>
          <w:lang w:val="en-US"/>
        </w:rPr>
        <w:t>Schedule</w:t>
      </w:r>
      <w:r w:rsidR="00D136AC">
        <w:rPr>
          <w:rFonts w:ascii="Times New Roman" w:hAnsi="Times New Roman" w:cs="Times New Roman"/>
          <w:sz w:val="24"/>
          <w:szCs w:val="24"/>
          <w:lang w:val="en-US"/>
        </w:rPr>
        <w:t>s</w:t>
      </w:r>
      <w:r>
        <w:rPr>
          <w:rFonts w:ascii="Times New Roman" w:hAnsi="Times New Roman" w:cs="Times New Roman"/>
          <w:sz w:val="24"/>
          <w:szCs w:val="24"/>
          <w:lang w:val="en-US"/>
        </w:rPr>
        <w:t xml:space="preserve">. Subsection 47(2) provides that a regulation may not be made for the purposes of section 47 unless </w:t>
      </w:r>
      <w:r w:rsidR="00D136AC">
        <w:rPr>
          <w:rFonts w:ascii="Times New Roman" w:hAnsi="Times New Roman" w:cs="Times New Roman"/>
          <w:sz w:val="24"/>
          <w:szCs w:val="24"/>
          <w:lang w:val="en-US"/>
        </w:rPr>
        <w:t xml:space="preserve">each </w:t>
      </w:r>
      <w:r>
        <w:rPr>
          <w:rFonts w:ascii="Times New Roman" w:hAnsi="Times New Roman" w:cs="Times New Roman"/>
          <w:sz w:val="24"/>
          <w:szCs w:val="24"/>
          <w:lang w:val="en-US"/>
        </w:rPr>
        <w:t xml:space="preserve">of the participating jurisdictions </w:t>
      </w:r>
      <w:r w:rsidR="00D136AC" w:rsidRPr="000F4A18">
        <w:rPr>
          <w:rFonts w:ascii="Times New Roman" w:hAnsi="Times New Roman" w:cs="Times New Roman"/>
          <w:sz w:val="24"/>
          <w:szCs w:val="24"/>
          <w:lang w:val="en-US"/>
        </w:rPr>
        <w:t>has published a notice in their official gazette setting out the terms of the Regulations and requesting that it be made</w:t>
      </w:r>
      <w:r>
        <w:rPr>
          <w:rFonts w:ascii="Times New Roman" w:hAnsi="Times New Roman" w:cs="Times New Roman"/>
          <w:sz w:val="24"/>
          <w:szCs w:val="24"/>
          <w:lang w:val="en-US"/>
        </w:rPr>
        <w:t xml:space="preserve">. This condition has been met in respect to these Regulations as at </w:t>
      </w:r>
      <w:r w:rsidR="00D136AC">
        <w:rPr>
          <w:rFonts w:ascii="Times New Roman" w:hAnsi="Times New Roman" w:cs="Times New Roman"/>
          <w:sz w:val="24"/>
          <w:szCs w:val="24"/>
          <w:lang w:val="en-US"/>
        </w:rPr>
        <w:t>31</w:t>
      </w:r>
      <w:r w:rsidRPr="001F12B4">
        <w:rPr>
          <w:rFonts w:ascii="Times New Roman" w:hAnsi="Times New Roman" w:cs="Times New Roman"/>
          <w:sz w:val="24"/>
          <w:szCs w:val="24"/>
          <w:lang w:val="en-US"/>
        </w:rPr>
        <w:t xml:space="preserve"> </w:t>
      </w:r>
      <w:r w:rsidR="00651357" w:rsidRPr="001F12B4">
        <w:rPr>
          <w:rFonts w:ascii="Times New Roman" w:hAnsi="Times New Roman" w:cs="Times New Roman"/>
          <w:sz w:val="24"/>
          <w:szCs w:val="24"/>
          <w:lang w:val="en-US"/>
        </w:rPr>
        <w:t>July</w:t>
      </w:r>
      <w:r w:rsidR="0043320A">
        <w:rPr>
          <w:rFonts w:ascii="Times New Roman" w:hAnsi="Times New Roman" w:cs="Times New Roman"/>
          <w:sz w:val="24"/>
          <w:szCs w:val="24"/>
          <w:lang w:val="en-US"/>
        </w:rPr>
        <w:t xml:space="preserve"> </w:t>
      </w:r>
      <w:r>
        <w:rPr>
          <w:rFonts w:ascii="Times New Roman" w:hAnsi="Times New Roman" w:cs="Times New Roman"/>
          <w:sz w:val="24"/>
          <w:szCs w:val="24"/>
          <w:lang w:val="en-US"/>
        </w:rPr>
        <w:t>20</w:t>
      </w:r>
      <w:r w:rsidR="00B75009">
        <w:rPr>
          <w:rFonts w:ascii="Times New Roman" w:hAnsi="Times New Roman" w:cs="Times New Roman"/>
          <w:sz w:val="24"/>
          <w:szCs w:val="24"/>
          <w:lang w:val="en-US"/>
        </w:rPr>
        <w:t>20</w:t>
      </w:r>
      <w:r w:rsidRPr="00D066F8">
        <w:rPr>
          <w:rFonts w:ascii="Times New Roman" w:hAnsi="Times New Roman" w:cs="Times New Roman"/>
          <w:sz w:val="24"/>
          <w:szCs w:val="24"/>
          <w:lang w:val="en-US"/>
        </w:rPr>
        <w:t xml:space="preserve">.  </w:t>
      </w:r>
    </w:p>
    <w:p w14:paraId="631BEB3E" w14:textId="77777777" w:rsidR="00C362E9" w:rsidRDefault="00C362E9" w:rsidP="00C362E9">
      <w:pPr>
        <w:spacing w:before="240" w:after="240"/>
        <w:rPr>
          <w:rFonts w:ascii="Times New Roman" w:hAnsi="Times New Roman" w:cs="Times New Roman"/>
          <w:b/>
          <w:sz w:val="24"/>
          <w:szCs w:val="24"/>
          <w:u w:val="single"/>
        </w:rPr>
      </w:pPr>
      <w:r w:rsidRPr="00E3229F">
        <w:rPr>
          <w:rFonts w:ascii="Times New Roman" w:hAnsi="Times New Roman" w:cs="Times New Roman"/>
          <w:b/>
          <w:sz w:val="24"/>
          <w:szCs w:val="24"/>
          <w:u w:val="single"/>
        </w:rPr>
        <w:t>Consultation</w:t>
      </w:r>
    </w:p>
    <w:p w14:paraId="411CA6E1" w14:textId="0A25E540" w:rsidR="00C362E9" w:rsidRPr="00DD5B3E" w:rsidRDefault="00C362E9" w:rsidP="00C362E9">
      <w:pPr>
        <w:spacing w:before="240" w:after="240"/>
        <w:rPr>
          <w:rFonts w:ascii="Times New Roman" w:hAnsi="Times New Roman" w:cs="Times New Roman"/>
          <w:sz w:val="24"/>
          <w:szCs w:val="24"/>
          <w:lang w:val="en-US"/>
        </w:rPr>
      </w:pPr>
      <w:r w:rsidRPr="00DD5B3E">
        <w:rPr>
          <w:rFonts w:ascii="Times New Roman" w:hAnsi="Times New Roman" w:cs="Times New Roman"/>
          <w:sz w:val="24"/>
          <w:szCs w:val="24"/>
          <w:lang w:val="en-US"/>
        </w:rPr>
        <w:t xml:space="preserve">The Regulations implement the decision of all jurisdictions to permanently exempt the </w:t>
      </w:r>
      <w:r w:rsidR="0043320A">
        <w:rPr>
          <w:rFonts w:ascii="Times New Roman" w:hAnsi="Times New Roman" w:cs="Times New Roman"/>
          <w:sz w:val="24"/>
          <w:szCs w:val="24"/>
          <w:lang w:val="en-US"/>
        </w:rPr>
        <w:t xml:space="preserve">WA </w:t>
      </w:r>
      <w:r w:rsidRPr="00DD5B3E">
        <w:rPr>
          <w:rFonts w:ascii="Times New Roman" w:hAnsi="Times New Roman" w:cs="Times New Roman"/>
          <w:sz w:val="24"/>
          <w:szCs w:val="24"/>
          <w:lang w:val="en-US"/>
        </w:rPr>
        <w:t>Container Deposit Scheme legislation from the operation of the Act.</w:t>
      </w:r>
    </w:p>
    <w:p w14:paraId="033ADB29" w14:textId="06636914" w:rsidR="00C362E9" w:rsidRPr="00312A78" w:rsidRDefault="00C362E9" w:rsidP="00C362E9">
      <w:pPr>
        <w:spacing w:before="240" w:after="240"/>
        <w:rPr>
          <w:rFonts w:ascii="Times New Roman" w:hAnsi="Times New Roman" w:cs="Times New Roman"/>
          <w:sz w:val="24"/>
          <w:szCs w:val="24"/>
        </w:rPr>
      </w:pPr>
      <w:r w:rsidRPr="00DD5B3E">
        <w:rPr>
          <w:rFonts w:ascii="Times New Roman" w:hAnsi="Times New Roman" w:cs="Times New Roman"/>
          <w:sz w:val="24"/>
          <w:szCs w:val="24"/>
        </w:rPr>
        <w:t>The Department of Industry, Science</w:t>
      </w:r>
      <w:r w:rsidR="0043320A">
        <w:rPr>
          <w:rFonts w:ascii="Times New Roman" w:hAnsi="Times New Roman" w:cs="Times New Roman"/>
          <w:sz w:val="24"/>
          <w:szCs w:val="24"/>
        </w:rPr>
        <w:t>, Energy and Resources</w:t>
      </w:r>
      <w:r w:rsidRPr="00DD5B3E">
        <w:rPr>
          <w:rFonts w:ascii="Times New Roman" w:hAnsi="Times New Roman" w:cs="Times New Roman"/>
          <w:sz w:val="24"/>
          <w:szCs w:val="24"/>
        </w:rPr>
        <w:t xml:space="preserve"> consulted closely with the </w:t>
      </w:r>
      <w:r w:rsidR="0043320A">
        <w:rPr>
          <w:rFonts w:ascii="Times New Roman" w:hAnsi="Times New Roman" w:cs="Times New Roman"/>
          <w:sz w:val="24"/>
          <w:szCs w:val="24"/>
        </w:rPr>
        <w:t>WA</w:t>
      </w:r>
      <w:r w:rsidR="0043320A" w:rsidRPr="00DD5B3E">
        <w:rPr>
          <w:rFonts w:ascii="Times New Roman" w:hAnsi="Times New Roman" w:cs="Times New Roman"/>
          <w:sz w:val="24"/>
          <w:szCs w:val="24"/>
        </w:rPr>
        <w:t xml:space="preserve"> </w:t>
      </w:r>
      <w:r w:rsidRPr="00DD5B3E">
        <w:rPr>
          <w:rFonts w:ascii="Times New Roman" w:hAnsi="Times New Roman" w:cs="Times New Roman"/>
          <w:sz w:val="24"/>
          <w:szCs w:val="24"/>
        </w:rPr>
        <w:t xml:space="preserve">Government, the Commonwealth Department of </w:t>
      </w:r>
      <w:r w:rsidR="005A192C">
        <w:rPr>
          <w:rFonts w:ascii="Times New Roman" w:hAnsi="Times New Roman" w:cs="Times New Roman"/>
          <w:sz w:val="24"/>
          <w:szCs w:val="24"/>
        </w:rPr>
        <w:t xml:space="preserve">the </w:t>
      </w:r>
      <w:r w:rsidRPr="00DD5B3E">
        <w:rPr>
          <w:rFonts w:ascii="Times New Roman" w:hAnsi="Times New Roman" w:cs="Times New Roman"/>
          <w:sz w:val="24"/>
          <w:szCs w:val="24"/>
        </w:rPr>
        <w:t xml:space="preserve">Prime Minister and Cabinet </w:t>
      </w:r>
      <w:r>
        <w:rPr>
          <w:rFonts w:ascii="Times New Roman" w:hAnsi="Times New Roman" w:cs="Times New Roman"/>
          <w:sz w:val="24"/>
          <w:szCs w:val="24"/>
        </w:rPr>
        <w:t xml:space="preserve">and with all jurisdictions on the gazettal of the </w:t>
      </w:r>
      <w:r w:rsidR="00691912">
        <w:rPr>
          <w:rFonts w:ascii="Times New Roman" w:hAnsi="Times New Roman" w:cs="Times New Roman"/>
          <w:sz w:val="24"/>
          <w:szCs w:val="24"/>
        </w:rPr>
        <w:t>R</w:t>
      </w:r>
      <w:r>
        <w:rPr>
          <w:rFonts w:ascii="Times New Roman" w:hAnsi="Times New Roman" w:cs="Times New Roman"/>
          <w:sz w:val="24"/>
          <w:szCs w:val="24"/>
        </w:rPr>
        <w:t>egulations.</w:t>
      </w:r>
      <w:r w:rsidRPr="00312A78">
        <w:rPr>
          <w:rFonts w:ascii="Times New Roman" w:hAnsi="Times New Roman" w:cs="Times New Roman"/>
          <w:sz w:val="24"/>
          <w:szCs w:val="24"/>
        </w:rPr>
        <w:t xml:space="preserve">  </w:t>
      </w:r>
    </w:p>
    <w:p w14:paraId="03F66A12" w14:textId="77777777" w:rsidR="00C362E9" w:rsidRDefault="00C362E9" w:rsidP="00C362E9">
      <w:pPr>
        <w:spacing w:before="240" w:after="240"/>
        <w:rPr>
          <w:rFonts w:ascii="Times New Roman" w:hAnsi="Times New Roman" w:cs="Times New Roman"/>
          <w:b/>
          <w:sz w:val="24"/>
          <w:szCs w:val="24"/>
          <w:u w:val="single"/>
        </w:rPr>
      </w:pPr>
      <w:r w:rsidRPr="00AF77E9">
        <w:rPr>
          <w:rFonts w:ascii="Times New Roman" w:hAnsi="Times New Roman" w:cs="Times New Roman"/>
          <w:b/>
          <w:sz w:val="24"/>
          <w:szCs w:val="24"/>
          <w:u w:val="single"/>
        </w:rPr>
        <w:t>Regulatory Impact</w:t>
      </w:r>
    </w:p>
    <w:p w14:paraId="04CE1E4C" w14:textId="2EC2CE74" w:rsidR="00E638BF" w:rsidRDefault="00C362E9" w:rsidP="00E638BF">
      <w:pPr>
        <w:spacing w:before="240" w:after="240"/>
        <w:rPr>
          <w:rFonts w:ascii="Times New Roman" w:hAnsi="Times New Roman" w:cs="Times New Roman"/>
          <w:sz w:val="24"/>
          <w:szCs w:val="24"/>
        </w:rPr>
      </w:pPr>
      <w:r w:rsidRPr="00312A78">
        <w:rPr>
          <w:rFonts w:ascii="Times New Roman" w:hAnsi="Times New Roman" w:cs="Times New Roman"/>
          <w:sz w:val="24"/>
          <w:szCs w:val="24"/>
        </w:rPr>
        <w:t xml:space="preserve">As part of this process, the </w:t>
      </w:r>
      <w:r w:rsidR="0043320A">
        <w:rPr>
          <w:rFonts w:ascii="Times New Roman" w:hAnsi="Times New Roman" w:cs="Times New Roman"/>
          <w:sz w:val="24"/>
          <w:szCs w:val="24"/>
        </w:rPr>
        <w:t xml:space="preserve">WA </w:t>
      </w:r>
      <w:r>
        <w:rPr>
          <w:rFonts w:ascii="Times New Roman" w:hAnsi="Times New Roman" w:cs="Times New Roman"/>
          <w:sz w:val="24"/>
          <w:szCs w:val="24"/>
        </w:rPr>
        <w:t>Government</w:t>
      </w:r>
      <w:r w:rsidRPr="00312A78">
        <w:rPr>
          <w:rFonts w:ascii="Times New Roman" w:hAnsi="Times New Roman" w:cs="Times New Roman"/>
          <w:sz w:val="24"/>
          <w:szCs w:val="24"/>
        </w:rPr>
        <w:t xml:space="preserve"> developed a Consultation </w:t>
      </w:r>
      <w:r>
        <w:rPr>
          <w:rFonts w:ascii="Times New Roman" w:hAnsi="Times New Roman" w:cs="Times New Roman"/>
          <w:sz w:val="24"/>
          <w:szCs w:val="24"/>
        </w:rPr>
        <w:t>Regulation Impact Statement (RIS)</w:t>
      </w:r>
      <w:r w:rsidRPr="00312A78">
        <w:rPr>
          <w:rFonts w:ascii="Times New Roman" w:hAnsi="Times New Roman" w:cs="Times New Roman"/>
          <w:sz w:val="24"/>
          <w:szCs w:val="24"/>
        </w:rPr>
        <w:t xml:space="preserve"> and a Decision RIS, which have been approved by </w:t>
      </w:r>
      <w:r>
        <w:rPr>
          <w:rFonts w:ascii="Times New Roman" w:hAnsi="Times New Roman" w:cs="Times New Roman"/>
          <w:sz w:val="24"/>
          <w:szCs w:val="24"/>
        </w:rPr>
        <w:t xml:space="preserve">the </w:t>
      </w:r>
      <w:r w:rsidRPr="00312A78">
        <w:rPr>
          <w:rFonts w:ascii="Times New Roman" w:hAnsi="Times New Roman" w:cs="Times New Roman"/>
          <w:sz w:val="24"/>
          <w:szCs w:val="24"/>
        </w:rPr>
        <w:t>O</w:t>
      </w:r>
      <w:r>
        <w:rPr>
          <w:rFonts w:ascii="Times New Roman" w:hAnsi="Times New Roman" w:cs="Times New Roman"/>
          <w:sz w:val="24"/>
          <w:szCs w:val="24"/>
        </w:rPr>
        <w:t xml:space="preserve">ffice of </w:t>
      </w:r>
      <w:r w:rsidRPr="00312A78">
        <w:rPr>
          <w:rFonts w:ascii="Times New Roman" w:hAnsi="Times New Roman" w:cs="Times New Roman"/>
          <w:sz w:val="24"/>
          <w:szCs w:val="24"/>
        </w:rPr>
        <w:t>B</w:t>
      </w:r>
      <w:r>
        <w:rPr>
          <w:rFonts w:ascii="Times New Roman" w:hAnsi="Times New Roman" w:cs="Times New Roman"/>
          <w:sz w:val="24"/>
          <w:szCs w:val="24"/>
        </w:rPr>
        <w:t xml:space="preserve">est </w:t>
      </w:r>
      <w:r w:rsidRPr="00312A78">
        <w:rPr>
          <w:rFonts w:ascii="Times New Roman" w:hAnsi="Times New Roman" w:cs="Times New Roman"/>
          <w:sz w:val="24"/>
          <w:szCs w:val="24"/>
        </w:rPr>
        <w:t>P</w:t>
      </w:r>
      <w:r>
        <w:rPr>
          <w:rFonts w:ascii="Times New Roman" w:hAnsi="Times New Roman" w:cs="Times New Roman"/>
          <w:sz w:val="24"/>
          <w:szCs w:val="24"/>
        </w:rPr>
        <w:t xml:space="preserve">ractice </w:t>
      </w:r>
      <w:r w:rsidRPr="00312A78">
        <w:rPr>
          <w:rFonts w:ascii="Times New Roman" w:hAnsi="Times New Roman" w:cs="Times New Roman"/>
          <w:sz w:val="24"/>
          <w:szCs w:val="24"/>
        </w:rPr>
        <w:t>R</w:t>
      </w:r>
      <w:r>
        <w:rPr>
          <w:rFonts w:ascii="Times New Roman" w:hAnsi="Times New Roman" w:cs="Times New Roman"/>
          <w:sz w:val="24"/>
          <w:szCs w:val="24"/>
        </w:rPr>
        <w:t>egulation</w:t>
      </w:r>
      <w:r w:rsidRPr="00312A78">
        <w:rPr>
          <w:rFonts w:ascii="Times New Roman" w:hAnsi="Times New Roman" w:cs="Times New Roman"/>
          <w:sz w:val="24"/>
          <w:szCs w:val="24"/>
        </w:rPr>
        <w:t xml:space="preserve">. </w:t>
      </w:r>
      <w:r>
        <w:rPr>
          <w:rFonts w:ascii="Times New Roman" w:hAnsi="Times New Roman" w:cs="Times New Roman"/>
          <w:sz w:val="24"/>
          <w:szCs w:val="24"/>
        </w:rPr>
        <w:t xml:space="preserve">The Decision RIS is included </w:t>
      </w:r>
      <w:r w:rsidR="00691912">
        <w:rPr>
          <w:rFonts w:ascii="Times New Roman" w:hAnsi="Times New Roman" w:cs="Times New Roman"/>
          <w:sz w:val="24"/>
          <w:szCs w:val="24"/>
        </w:rPr>
        <w:t xml:space="preserve">at the end of </w:t>
      </w:r>
      <w:r>
        <w:rPr>
          <w:rFonts w:ascii="Times New Roman" w:hAnsi="Times New Roman" w:cs="Times New Roman"/>
          <w:sz w:val="24"/>
          <w:szCs w:val="24"/>
        </w:rPr>
        <w:t xml:space="preserve">this Explanatory Statement. </w:t>
      </w:r>
    </w:p>
    <w:p w14:paraId="542E4332" w14:textId="77777777" w:rsidR="001F12B4" w:rsidRDefault="001F12B4" w:rsidP="001F12B4">
      <w:pPr>
        <w:spacing w:before="240" w:after="240"/>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31D3EBD9" w14:textId="3DBB440C" w:rsidR="001F12B4" w:rsidRDefault="001F12B4" w:rsidP="001F12B4">
      <w:pPr>
        <w:spacing w:before="240" w:after="240"/>
        <w:rPr>
          <w:rFonts w:ascii="Times New Roman" w:hAnsi="Times New Roman" w:cs="Times New Roman"/>
          <w:b/>
          <w:i/>
          <w:sz w:val="24"/>
          <w:szCs w:val="24"/>
          <w:u w:val="single"/>
        </w:rPr>
      </w:pPr>
      <w:r w:rsidRPr="00C829E2">
        <w:rPr>
          <w:rFonts w:ascii="Times New Roman" w:hAnsi="Times New Roman" w:cs="Times New Roman"/>
          <w:b/>
          <w:sz w:val="24"/>
          <w:szCs w:val="24"/>
          <w:u w:val="single"/>
        </w:rPr>
        <w:lastRenderedPageBreak/>
        <w:t xml:space="preserve">Details of the </w:t>
      </w:r>
      <w:r w:rsidRPr="000F4A18">
        <w:rPr>
          <w:rFonts w:ascii="Times New Roman" w:hAnsi="Times New Roman" w:cs="Times New Roman"/>
          <w:b/>
          <w:i/>
          <w:sz w:val="24"/>
          <w:szCs w:val="24"/>
          <w:u w:val="single"/>
        </w:rPr>
        <w:t>Mutual Recognition Amendment (WA Container Deposit Scheme) Regulations 2020</w:t>
      </w:r>
    </w:p>
    <w:p w14:paraId="2A0BADB7" w14:textId="77777777" w:rsidR="001F12B4" w:rsidRPr="00363D0E" w:rsidRDefault="001F12B4" w:rsidP="001F12B4">
      <w:pPr>
        <w:spacing w:before="240" w:after="240"/>
        <w:rPr>
          <w:rFonts w:ascii="Times New Roman" w:hAnsi="Times New Roman" w:cs="Times New Roman"/>
          <w:sz w:val="24"/>
          <w:szCs w:val="24"/>
          <w:u w:val="single"/>
        </w:rPr>
      </w:pPr>
      <w:r w:rsidRPr="00363D0E">
        <w:rPr>
          <w:rFonts w:ascii="Times New Roman" w:hAnsi="Times New Roman" w:cs="Times New Roman"/>
          <w:sz w:val="24"/>
          <w:szCs w:val="24"/>
          <w:u w:val="single"/>
        </w:rPr>
        <w:t>Section 1 – Name</w:t>
      </w:r>
    </w:p>
    <w:p w14:paraId="1D13FCB5" w14:textId="77777777" w:rsidR="001F12B4" w:rsidRPr="000F4A18" w:rsidRDefault="001F12B4" w:rsidP="001F12B4">
      <w:pPr>
        <w:spacing w:before="240" w:after="240"/>
        <w:rPr>
          <w:rFonts w:ascii="Times New Roman" w:hAnsi="Times New Roman" w:cs="Times New Roman"/>
          <w:sz w:val="24"/>
          <w:szCs w:val="24"/>
        </w:rPr>
      </w:pPr>
      <w:r w:rsidRPr="000F4A18">
        <w:rPr>
          <w:rFonts w:ascii="Times New Roman" w:hAnsi="Times New Roman" w:cs="Times New Roman"/>
          <w:sz w:val="24"/>
          <w:szCs w:val="24"/>
        </w:rPr>
        <w:t>This section</w:t>
      </w:r>
      <w:r>
        <w:rPr>
          <w:rFonts w:ascii="Times New Roman" w:hAnsi="Times New Roman" w:cs="Times New Roman"/>
          <w:sz w:val="24"/>
          <w:szCs w:val="24"/>
        </w:rPr>
        <w:t xml:space="preserve"> </w:t>
      </w:r>
      <w:r w:rsidRPr="000F4A18">
        <w:rPr>
          <w:rFonts w:ascii="Times New Roman" w:hAnsi="Times New Roman" w:cs="Times New Roman"/>
          <w:sz w:val="24"/>
          <w:szCs w:val="24"/>
        </w:rPr>
        <w:t>provide</w:t>
      </w:r>
      <w:r>
        <w:rPr>
          <w:rFonts w:ascii="Times New Roman" w:hAnsi="Times New Roman" w:cs="Times New Roman"/>
          <w:sz w:val="24"/>
          <w:szCs w:val="24"/>
        </w:rPr>
        <w:t>s</w:t>
      </w:r>
      <w:r w:rsidRPr="000F4A18">
        <w:rPr>
          <w:rFonts w:ascii="Times New Roman" w:hAnsi="Times New Roman" w:cs="Times New Roman"/>
          <w:sz w:val="24"/>
          <w:szCs w:val="24"/>
        </w:rPr>
        <w:t xml:space="preserve"> that the title of the Regulations </w:t>
      </w:r>
      <w:r>
        <w:rPr>
          <w:rFonts w:ascii="Times New Roman" w:hAnsi="Times New Roman" w:cs="Times New Roman"/>
          <w:sz w:val="24"/>
          <w:szCs w:val="24"/>
        </w:rPr>
        <w:t>is</w:t>
      </w:r>
      <w:r w:rsidRPr="000F4A18">
        <w:rPr>
          <w:rFonts w:ascii="Times New Roman" w:hAnsi="Times New Roman" w:cs="Times New Roman"/>
          <w:sz w:val="24"/>
          <w:szCs w:val="24"/>
        </w:rPr>
        <w:t xml:space="preserve"> the </w:t>
      </w:r>
      <w:r w:rsidRPr="000F4A18">
        <w:rPr>
          <w:rFonts w:ascii="Times New Roman" w:hAnsi="Times New Roman" w:cs="Times New Roman"/>
          <w:i/>
          <w:sz w:val="24"/>
          <w:szCs w:val="24"/>
        </w:rPr>
        <w:t>Mutual Recognition Amendment (WA Container Deposit Scheme) Regulations 2020</w:t>
      </w:r>
      <w:r w:rsidRPr="000F4A18">
        <w:rPr>
          <w:rFonts w:ascii="Times New Roman" w:hAnsi="Times New Roman" w:cs="Times New Roman"/>
          <w:sz w:val="24"/>
          <w:szCs w:val="24"/>
        </w:rPr>
        <w:t>.</w:t>
      </w:r>
    </w:p>
    <w:p w14:paraId="22D25A36" w14:textId="77777777" w:rsidR="001F12B4" w:rsidRPr="00784C61" w:rsidRDefault="001F12B4" w:rsidP="001F12B4">
      <w:pPr>
        <w:spacing w:before="240" w:after="240"/>
        <w:rPr>
          <w:rFonts w:ascii="Times New Roman" w:hAnsi="Times New Roman" w:cs="Times New Roman"/>
          <w:sz w:val="24"/>
          <w:szCs w:val="24"/>
          <w:u w:val="single"/>
        </w:rPr>
      </w:pPr>
      <w:r w:rsidRPr="00784C61">
        <w:rPr>
          <w:rFonts w:ascii="Times New Roman" w:hAnsi="Times New Roman" w:cs="Times New Roman"/>
          <w:sz w:val="24"/>
          <w:szCs w:val="24"/>
          <w:u w:val="single"/>
        </w:rPr>
        <w:t>Section 2 – Commencement</w:t>
      </w:r>
    </w:p>
    <w:p w14:paraId="7ADB94C4" w14:textId="77777777" w:rsidR="001F12B4" w:rsidRPr="000F4A18" w:rsidRDefault="001F12B4" w:rsidP="001F12B4">
      <w:pPr>
        <w:spacing w:before="240" w:after="240"/>
        <w:rPr>
          <w:rFonts w:ascii="Times New Roman" w:hAnsi="Times New Roman" w:cs="Times New Roman"/>
          <w:sz w:val="24"/>
          <w:szCs w:val="24"/>
        </w:rPr>
      </w:pPr>
      <w:r w:rsidRPr="000F4A18">
        <w:rPr>
          <w:rFonts w:ascii="Times New Roman" w:hAnsi="Times New Roman" w:cs="Times New Roman"/>
          <w:sz w:val="24"/>
          <w:szCs w:val="24"/>
        </w:rPr>
        <w:t>This section provide</w:t>
      </w:r>
      <w:r>
        <w:rPr>
          <w:rFonts w:ascii="Times New Roman" w:hAnsi="Times New Roman" w:cs="Times New Roman"/>
          <w:sz w:val="24"/>
          <w:szCs w:val="24"/>
        </w:rPr>
        <w:t>s that</w:t>
      </w:r>
      <w:r w:rsidRPr="000F4A18">
        <w:rPr>
          <w:rFonts w:ascii="Times New Roman" w:hAnsi="Times New Roman" w:cs="Times New Roman"/>
          <w:sz w:val="24"/>
          <w:szCs w:val="24"/>
        </w:rPr>
        <w:t xml:space="preserve"> the </w:t>
      </w:r>
      <w:r>
        <w:rPr>
          <w:rFonts w:ascii="Times New Roman" w:hAnsi="Times New Roman" w:cs="Times New Roman"/>
          <w:sz w:val="24"/>
          <w:szCs w:val="24"/>
        </w:rPr>
        <w:t>R</w:t>
      </w:r>
      <w:r w:rsidRPr="000F4A18">
        <w:rPr>
          <w:rFonts w:ascii="Times New Roman" w:hAnsi="Times New Roman" w:cs="Times New Roman"/>
          <w:sz w:val="24"/>
          <w:szCs w:val="24"/>
        </w:rPr>
        <w:t xml:space="preserve">egulations commence the day after registration on the Federal Register of Legislation. </w:t>
      </w:r>
    </w:p>
    <w:p w14:paraId="54E72A86" w14:textId="77777777" w:rsidR="001F12B4" w:rsidRPr="001F12B4" w:rsidRDefault="001F12B4" w:rsidP="001F12B4">
      <w:pPr>
        <w:spacing w:before="240" w:after="240"/>
        <w:rPr>
          <w:rFonts w:ascii="Times New Roman" w:hAnsi="Times New Roman" w:cs="Times New Roman"/>
          <w:sz w:val="24"/>
          <w:szCs w:val="24"/>
          <w:u w:val="single"/>
        </w:rPr>
      </w:pPr>
      <w:r w:rsidRPr="001F12B4">
        <w:rPr>
          <w:rFonts w:ascii="Times New Roman" w:hAnsi="Times New Roman" w:cs="Times New Roman"/>
          <w:sz w:val="24"/>
          <w:szCs w:val="24"/>
          <w:u w:val="single"/>
        </w:rPr>
        <w:t>Section 3 – Authority</w:t>
      </w:r>
    </w:p>
    <w:p w14:paraId="43573251" w14:textId="77777777" w:rsidR="001F12B4" w:rsidRPr="000F4A18" w:rsidRDefault="001F12B4" w:rsidP="001F12B4">
      <w:pPr>
        <w:spacing w:before="240" w:after="240"/>
        <w:rPr>
          <w:rFonts w:ascii="Times New Roman" w:hAnsi="Times New Roman" w:cs="Times New Roman"/>
          <w:sz w:val="24"/>
          <w:szCs w:val="24"/>
        </w:rPr>
      </w:pPr>
      <w:r w:rsidRPr="000F4A18">
        <w:rPr>
          <w:rFonts w:ascii="Times New Roman" w:hAnsi="Times New Roman" w:cs="Times New Roman"/>
          <w:sz w:val="24"/>
          <w:szCs w:val="24"/>
        </w:rPr>
        <w:t>This section provide</w:t>
      </w:r>
      <w:r>
        <w:rPr>
          <w:rFonts w:ascii="Times New Roman" w:hAnsi="Times New Roman" w:cs="Times New Roman"/>
          <w:sz w:val="24"/>
          <w:szCs w:val="24"/>
        </w:rPr>
        <w:t>s</w:t>
      </w:r>
      <w:r w:rsidRPr="000F4A18">
        <w:rPr>
          <w:rFonts w:ascii="Times New Roman" w:hAnsi="Times New Roman" w:cs="Times New Roman"/>
          <w:sz w:val="24"/>
          <w:szCs w:val="24"/>
        </w:rPr>
        <w:t xml:space="preserve"> that the Regulations are made under section 47 of the </w:t>
      </w:r>
      <w:r w:rsidRPr="000F4A18">
        <w:rPr>
          <w:rFonts w:ascii="Times New Roman" w:hAnsi="Times New Roman" w:cs="Times New Roman"/>
          <w:i/>
          <w:sz w:val="24"/>
          <w:szCs w:val="24"/>
        </w:rPr>
        <w:t>Mutual Recognition Act 1992</w:t>
      </w:r>
      <w:r w:rsidRPr="000F4A18">
        <w:rPr>
          <w:rFonts w:ascii="Times New Roman" w:hAnsi="Times New Roman" w:cs="Times New Roman"/>
          <w:sz w:val="24"/>
          <w:szCs w:val="24"/>
        </w:rPr>
        <w:t>.</w:t>
      </w:r>
    </w:p>
    <w:p w14:paraId="03322CE3" w14:textId="77777777" w:rsidR="001F12B4" w:rsidRPr="00363D0E" w:rsidRDefault="001F12B4" w:rsidP="001F12B4">
      <w:pPr>
        <w:spacing w:before="240" w:after="240"/>
        <w:rPr>
          <w:rFonts w:ascii="Times New Roman" w:hAnsi="Times New Roman" w:cs="Times New Roman"/>
          <w:sz w:val="24"/>
          <w:szCs w:val="24"/>
          <w:u w:val="single"/>
        </w:rPr>
      </w:pPr>
      <w:r w:rsidRPr="00363D0E">
        <w:rPr>
          <w:rFonts w:ascii="Times New Roman" w:hAnsi="Times New Roman" w:cs="Times New Roman"/>
          <w:sz w:val="24"/>
          <w:szCs w:val="24"/>
          <w:u w:val="single"/>
        </w:rPr>
        <w:t>Section 4 – Schedules</w:t>
      </w:r>
    </w:p>
    <w:p w14:paraId="36F0C3AD" w14:textId="77777777" w:rsidR="001F12B4" w:rsidRPr="000F4A18" w:rsidRDefault="001F12B4" w:rsidP="001F12B4">
      <w:pPr>
        <w:spacing w:before="240" w:after="240"/>
        <w:rPr>
          <w:rFonts w:ascii="Times New Roman" w:hAnsi="Times New Roman" w:cs="Times New Roman"/>
          <w:sz w:val="24"/>
          <w:szCs w:val="24"/>
        </w:rPr>
      </w:pPr>
      <w:r w:rsidRPr="000F4A18">
        <w:rPr>
          <w:rFonts w:ascii="Times New Roman" w:hAnsi="Times New Roman" w:cs="Times New Roman"/>
          <w:sz w:val="24"/>
          <w:szCs w:val="24"/>
        </w:rPr>
        <w:t>This section provide</w:t>
      </w:r>
      <w:r>
        <w:rPr>
          <w:rFonts w:ascii="Times New Roman" w:hAnsi="Times New Roman" w:cs="Times New Roman"/>
          <w:sz w:val="24"/>
          <w:szCs w:val="24"/>
        </w:rPr>
        <w:t>s</w:t>
      </w:r>
      <w:r w:rsidRPr="000F4A18">
        <w:rPr>
          <w:rFonts w:ascii="Times New Roman" w:hAnsi="Times New Roman" w:cs="Times New Roman"/>
          <w:sz w:val="24"/>
          <w:szCs w:val="24"/>
        </w:rPr>
        <w:t xml:space="preserve"> a machinery clause that enables the Schedule to amend the </w:t>
      </w:r>
      <w:r w:rsidRPr="000F4A18">
        <w:rPr>
          <w:rFonts w:ascii="Times New Roman" w:hAnsi="Times New Roman" w:cs="Times New Roman"/>
          <w:i/>
          <w:sz w:val="24"/>
          <w:szCs w:val="24"/>
        </w:rPr>
        <w:t>Mutual Recognition Act 1992</w:t>
      </w:r>
      <w:r w:rsidRPr="000F4A18">
        <w:rPr>
          <w:rFonts w:ascii="Times New Roman" w:hAnsi="Times New Roman" w:cs="Times New Roman"/>
          <w:sz w:val="24"/>
          <w:szCs w:val="24"/>
        </w:rPr>
        <w:t xml:space="preserve"> and to operate according to its terms.</w:t>
      </w:r>
    </w:p>
    <w:p w14:paraId="4D8F9B11" w14:textId="77777777" w:rsidR="001F12B4" w:rsidRPr="000F4A18" w:rsidRDefault="001F12B4" w:rsidP="001F12B4">
      <w:pPr>
        <w:spacing w:before="240" w:after="240"/>
        <w:rPr>
          <w:rFonts w:ascii="Times New Roman" w:hAnsi="Times New Roman" w:cs="Times New Roman"/>
          <w:b/>
          <w:sz w:val="24"/>
          <w:szCs w:val="24"/>
          <w:u w:val="single"/>
        </w:rPr>
      </w:pPr>
      <w:r w:rsidRPr="000F4A18">
        <w:rPr>
          <w:rFonts w:ascii="Times New Roman" w:hAnsi="Times New Roman" w:cs="Times New Roman"/>
          <w:b/>
          <w:sz w:val="24"/>
          <w:szCs w:val="24"/>
          <w:u w:val="single"/>
        </w:rPr>
        <w:t>Schedule 1—Amendments</w:t>
      </w:r>
    </w:p>
    <w:p w14:paraId="193CB624" w14:textId="77777777" w:rsidR="001F12B4" w:rsidRPr="00363D0E" w:rsidRDefault="001F12B4" w:rsidP="001F12B4">
      <w:pPr>
        <w:spacing w:before="240" w:after="240"/>
        <w:rPr>
          <w:rFonts w:ascii="Times New Roman" w:hAnsi="Times New Roman" w:cs="Times New Roman"/>
          <w:sz w:val="24"/>
          <w:szCs w:val="24"/>
          <w:u w:val="single"/>
        </w:rPr>
      </w:pPr>
      <w:r w:rsidRPr="00363D0E">
        <w:rPr>
          <w:rFonts w:ascii="Times New Roman" w:hAnsi="Times New Roman" w:cs="Times New Roman"/>
          <w:sz w:val="24"/>
          <w:szCs w:val="24"/>
          <w:u w:val="single"/>
        </w:rPr>
        <w:t>Item 1</w:t>
      </w:r>
      <w:r>
        <w:rPr>
          <w:rFonts w:ascii="Times New Roman" w:hAnsi="Times New Roman" w:cs="Times New Roman"/>
          <w:sz w:val="24"/>
          <w:szCs w:val="24"/>
          <w:u w:val="single"/>
        </w:rPr>
        <w:t xml:space="preserve"> – At the end of Schedule 2</w:t>
      </w:r>
    </w:p>
    <w:p w14:paraId="49244A2F" w14:textId="77777777" w:rsidR="001F12B4" w:rsidRPr="000F4A18" w:rsidRDefault="001F12B4" w:rsidP="001F12B4">
      <w:pPr>
        <w:spacing w:before="240" w:after="240"/>
        <w:rPr>
          <w:rFonts w:ascii="Times New Roman" w:hAnsi="Times New Roman" w:cs="Times New Roman"/>
          <w:sz w:val="24"/>
          <w:szCs w:val="24"/>
        </w:rPr>
      </w:pPr>
      <w:r w:rsidRPr="000F4A18">
        <w:rPr>
          <w:rFonts w:ascii="Times New Roman" w:hAnsi="Times New Roman" w:cs="Times New Roman"/>
          <w:sz w:val="24"/>
          <w:szCs w:val="24"/>
        </w:rPr>
        <w:t>Item 1 of the Schedule add</w:t>
      </w:r>
      <w:r>
        <w:rPr>
          <w:rFonts w:ascii="Times New Roman" w:hAnsi="Times New Roman" w:cs="Times New Roman"/>
          <w:sz w:val="24"/>
          <w:szCs w:val="24"/>
        </w:rPr>
        <w:t>s</w:t>
      </w:r>
      <w:r w:rsidRPr="000F4A18">
        <w:rPr>
          <w:rFonts w:ascii="Times New Roman" w:hAnsi="Times New Roman" w:cs="Times New Roman"/>
          <w:sz w:val="24"/>
          <w:szCs w:val="24"/>
        </w:rPr>
        <w:t xml:space="preserve"> clause 37 to Schedule 2 of the </w:t>
      </w:r>
      <w:r w:rsidRPr="000F4A18">
        <w:rPr>
          <w:rFonts w:ascii="Times New Roman" w:hAnsi="Times New Roman" w:cs="Times New Roman"/>
          <w:i/>
          <w:sz w:val="24"/>
          <w:szCs w:val="24"/>
        </w:rPr>
        <w:t>Mutual Recognition Act 1992</w:t>
      </w:r>
      <w:r w:rsidRPr="000F4A18">
        <w:rPr>
          <w:rFonts w:ascii="Times New Roman" w:hAnsi="Times New Roman" w:cs="Times New Roman"/>
          <w:sz w:val="24"/>
          <w:szCs w:val="24"/>
        </w:rPr>
        <w:t xml:space="preserve">. The addition would provide that the listed WA legislation is permanently exempted from the operation of </w:t>
      </w:r>
      <w:r w:rsidRPr="000F4A18">
        <w:rPr>
          <w:rFonts w:ascii="Times New Roman" w:hAnsi="Times New Roman" w:cs="Times New Roman"/>
          <w:i/>
          <w:sz w:val="24"/>
          <w:szCs w:val="24"/>
        </w:rPr>
        <w:t>the Mutual Recognition Act 1992</w:t>
      </w:r>
      <w:r w:rsidRPr="000F4A18">
        <w:rPr>
          <w:rFonts w:ascii="Times New Roman" w:hAnsi="Times New Roman" w:cs="Times New Roman"/>
          <w:sz w:val="24"/>
          <w:szCs w:val="24"/>
        </w:rPr>
        <w:t>, so far as they relate to the WA Container Deposit Scheme.</w:t>
      </w:r>
    </w:p>
    <w:p w14:paraId="103ED561" w14:textId="77777777" w:rsidR="001F12B4" w:rsidRDefault="001F12B4" w:rsidP="001F12B4">
      <w:pPr>
        <w:spacing w:before="240" w:after="240"/>
      </w:pPr>
    </w:p>
    <w:p w14:paraId="0DA55180" w14:textId="77777777" w:rsidR="001F12B4" w:rsidRDefault="001F12B4" w:rsidP="001F12B4">
      <w:pPr>
        <w:spacing w:before="240" w:after="240"/>
      </w:pPr>
    </w:p>
    <w:p w14:paraId="2C19087D" w14:textId="77777777" w:rsidR="00706436" w:rsidRDefault="00706436">
      <w:pPr>
        <w:rPr>
          <w:rFonts w:ascii="Times New Roman" w:hAnsi="Times New Roman" w:cs="Times New Roman"/>
          <w:b/>
          <w:bCs/>
          <w:sz w:val="28"/>
          <w:szCs w:val="28"/>
          <w:lang w:eastAsia="en-AU"/>
        </w:rPr>
      </w:pPr>
      <w:r>
        <w:rPr>
          <w:rFonts w:ascii="Times New Roman" w:hAnsi="Times New Roman" w:cs="Times New Roman"/>
          <w:b/>
          <w:bCs/>
          <w:sz w:val="28"/>
          <w:szCs w:val="28"/>
          <w:lang w:eastAsia="en-AU"/>
        </w:rPr>
        <w:br w:type="page"/>
      </w:r>
    </w:p>
    <w:p w14:paraId="1A34654F" w14:textId="080111EB" w:rsidR="001F12B4" w:rsidRDefault="001F12B4" w:rsidP="001F12B4">
      <w:pPr>
        <w:shd w:val="clear" w:color="auto" w:fill="FFFFFF"/>
        <w:spacing w:before="360" w:after="120"/>
        <w:jc w:val="center"/>
        <w:rPr>
          <w:rFonts w:ascii="Times New Roman" w:hAnsi="Times New Roman" w:cs="Times New Roman"/>
          <w:sz w:val="24"/>
          <w:szCs w:val="24"/>
          <w:lang w:val="en-US" w:eastAsia="en-AU"/>
        </w:rPr>
      </w:pPr>
      <w:r>
        <w:rPr>
          <w:rFonts w:ascii="Times New Roman" w:hAnsi="Times New Roman" w:cs="Times New Roman"/>
          <w:b/>
          <w:bCs/>
          <w:sz w:val="28"/>
          <w:szCs w:val="28"/>
          <w:lang w:eastAsia="en-AU"/>
        </w:rPr>
        <w:t>Statement of Compatibility with Human Rights</w:t>
      </w:r>
    </w:p>
    <w:p w14:paraId="671F37F3" w14:textId="77777777" w:rsidR="001F12B4" w:rsidRDefault="001F12B4" w:rsidP="001F12B4">
      <w:pPr>
        <w:shd w:val="clear" w:color="auto" w:fill="FFFFFF"/>
        <w:spacing w:before="240" w:after="240"/>
        <w:jc w:val="center"/>
        <w:rPr>
          <w:rFonts w:ascii="Times New Roman" w:hAnsi="Times New Roman" w:cs="Times New Roman"/>
          <w:sz w:val="24"/>
          <w:szCs w:val="24"/>
          <w:lang w:val="en-US" w:eastAsia="en-AU"/>
        </w:rPr>
      </w:pPr>
      <w:r>
        <w:rPr>
          <w:rFonts w:ascii="Times New Roman" w:hAnsi="Times New Roman" w:cs="Times New Roman"/>
          <w:i/>
          <w:iCs/>
          <w:sz w:val="24"/>
          <w:szCs w:val="24"/>
          <w:lang w:eastAsia="en-AU"/>
        </w:rPr>
        <w:t>Prepared in accordance with Part 3 of the Human Rights (Parliamentary Scrutiny) Act 2011</w:t>
      </w:r>
    </w:p>
    <w:p w14:paraId="33B26495" w14:textId="77777777" w:rsidR="001F12B4" w:rsidRDefault="001F12B4" w:rsidP="001F12B4">
      <w:pPr>
        <w:spacing w:before="240" w:after="240"/>
        <w:jc w:val="center"/>
        <w:rPr>
          <w:rFonts w:ascii="Times New Roman" w:hAnsi="Times New Roman" w:cs="Times New Roman"/>
          <w:iCs/>
          <w:sz w:val="24"/>
          <w:szCs w:val="24"/>
          <w:lang w:eastAsia="en-AU"/>
        </w:rPr>
      </w:pPr>
      <w:r w:rsidRPr="001036B8">
        <w:rPr>
          <w:rFonts w:ascii="Times New Roman" w:hAnsi="Times New Roman" w:cs="Times New Roman"/>
          <w:i/>
          <w:iCs/>
          <w:sz w:val="24"/>
          <w:szCs w:val="24"/>
          <w:lang w:eastAsia="en-AU"/>
        </w:rPr>
        <w:t>Mutual Recognition Amendment (WA Container Deposit Scheme) Regulations 2020</w:t>
      </w:r>
      <w:r w:rsidRPr="001036B8">
        <w:rPr>
          <w:rFonts w:ascii="Times New Roman" w:hAnsi="Times New Roman" w:cs="Times New Roman"/>
          <w:iCs/>
          <w:sz w:val="24"/>
          <w:szCs w:val="24"/>
          <w:lang w:eastAsia="en-AU"/>
        </w:rPr>
        <w:t xml:space="preserve"> </w:t>
      </w:r>
    </w:p>
    <w:p w14:paraId="5DC972E8" w14:textId="77777777" w:rsidR="001F12B4" w:rsidRPr="00547F8D" w:rsidRDefault="001F12B4" w:rsidP="001F12B4">
      <w:pPr>
        <w:spacing w:before="240" w:after="240"/>
        <w:jc w:val="center"/>
        <w:rPr>
          <w:rFonts w:ascii="Times New Roman" w:hAnsi="Times New Roman" w:cs="Times New Roman"/>
          <w:sz w:val="24"/>
          <w:szCs w:val="24"/>
        </w:rPr>
      </w:pPr>
      <w:r w:rsidRPr="00547F8D">
        <w:rPr>
          <w:rFonts w:ascii="Times New Roman" w:hAnsi="Times New Roman" w:cs="Times New Roman"/>
          <w:sz w:val="24"/>
          <w:szCs w:val="24"/>
        </w:rPr>
        <w:t xml:space="preserve">This </w:t>
      </w:r>
      <w:r>
        <w:rPr>
          <w:rFonts w:ascii="Times New Roman" w:hAnsi="Times New Roman" w:cs="Times New Roman"/>
          <w:sz w:val="24"/>
          <w:szCs w:val="24"/>
        </w:rPr>
        <w:t xml:space="preserve">Legislative Instrument </w:t>
      </w:r>
      <w:r w:rsidRPr="00547F8D">
        <w:rPr>
          <w:rFonts w:ascii="Times New Roman" w:hAnsi="Times New Roman" w:cs="Times New Roman"/>
          <w:sz w:val="24"/>
          <w:szCs w:val="24"/>
        </w:rPr>
        <w:t xml:space="preserve">is compatible with the human rights and freedoms recognised or declared in the international instruments listed in section 3 of the </w:t>
      </w:r>
      <w:r w:rsidRPr="00547F8D">
        <w:rPr>
          <w:rFonts w:ascii="Times New Roman" w:hAnsi="Times New Roman" w:cs="Times New Roman"/>
          <w:i/>
          <w:sz w:val="24"/>
          <w:szCs w:val="24"/>
        </w:rPr>
        <w:t>Human Rights (Parliamentary Scrutiny) Act 2011</w:t>
      </w:r>
      <w:r w:rsidRPr="00547F8D">
        <w:rPr>
          <w:rFonts w:ascii="Times New Roman" w:hAnsi="Times New Roman" w:cs="Times New Roman"/>
          <w:sz w:val="24"/>
          <w:szCs w:val="24"/>
        </w:rPr>
        <w:t>.</w:t>
      </w:r>
    </w:p>
    <w:p w14:paraId="144A12C3" w14:textId="77777777" w:rsidR="001F12B4" w:rsidRDefault="001F12B4" w:rsidP="001F12B4">
      <w:pPr>
        <w:shd w:val="clear" w:color="auto" w:fill="FFFFFF"/>
        <w:spacing w:before="240" w:after="240"/>
        <w:jc w:val="both"/>
        <w:rPr>
          <w:rFonts w:ascii="Times New Roman" w:hAnsi="Times New Roman" w:cs="Times New Roman"/>
          <w:sz w:val="24"/>
          <w:szCs w:val="24"/>
          <w:lang w:val="en-US" w:eastAsia="en-AU"/>
        </w:rPr>
      </w:pPr>
      <w:r>
        <w:rPr>
          <w:rFonts w:ascii="Times New Roman" w:hAnsi="Times New Roman" w:cs="Times New Roman"/>
          <w:b/>
          <w:bCs/>
          <w:sz w:val="24"/>
          <w:szCs w:val="24"/>
          <w:lang w:eastAsia="en-AU"/>
        </w:rPr>
        <w:t>Overview of the Legislative Instrument</w:t>
      </w:r>
    </w:p>
    <w:p w14:paraId="78BE8C91" w14:textId="77777777" w:rsidR="001F12B4" w:rsidRDefault="001F12B4" w:rsidP="001F12B4">
      <w:pPr>
        <w:shd w:val="clear" w:color="auto" w:fill="FFFFFF"/>
        <w:spacing w:before="240" w:after="240"/>
        <w:rPr>
          <w:rFonts w:ascii="Times New Roman" w:hAnsi="Times New Roman" w:cs="Times New Roman"/>
          <w:sz w:val="24"/>
          <w:szCs w:val="24"/>
          <w:lang w:val="en-US" w:eastAsia="en-AU"/>
        </w:rPr>
      </w:pPr>
      <w:r>
        <w:rPr>
          <w:rFonts w:ascii="Times New Roman" w:hAnsi="Times New Roman" w:cs="Times New Roman"/>
          <w:sz w:val="24"/>
          <w:szCs w:val="24"/>
          <w:lang w:eastAsia="en-AU"/>
        </w:rPr>
        <w:t xml:space="preserve">The purpose of the </w:t>
      </w:r>
      <w:r w:rsidRPr="001036B8">
        <w:rPr>
          <w:rFonts w:ascii="Times New Roman" w:hAnsi="Times New Roman" w:cs="Times New Roman"/>
          <w:i/>
          <w:iCs/>
          <w:sz w:val="24"/>
          <w:szCs w:val="24"/>
          <w:lang w:eastAsia="en-AU"/>
        </w:rPr>
        <w:t>Mutual Recognition Amendment (WA Container Deposit Scheme) Regulations 2020</w:t>
      </w:r>
      <w:r w:rsidRPr="001036B8">
        <w:rPr>
          <w:rFonts w:ascii="Times New Roman" w:hAnsi="Times New Roman" w:cs="Times New Roman"/>
          <w:iCs/>
          <w:sz w:val="24"/>
          <w:szCs w:val="24"/>
          <w:lang w:eastAsia="en-AU"/>
        </w:rPr>
        <w:t xml:space="preserve"> </w:t>
      </w:r>
      <w:r>
        <w:rPr>
          <w:rFonts w:ascii="Times New Roman" w:hAnsi="Times New Roman" w:cs="Times New Roman"/>
          <w:sz w:val="24"/>
          <w:szCs w:val="24"/>
          <w:lang w:eastAsia="en-AU"/>
        </w:rPr>
        <w:t xml:space="preserve">is to permanently exempt the Western Australian (WA) </w:t>
      </w:r>
      <w:r w:rsidRPr="009F6E14">
        <w:rPr>
          <w:rFonts w:ascii="Times New Roman" w:hAnsi="Times New Roman" w:cs="Times New Roman"/>
          <w:i/>
          <w:iCs/>
          <w:sz w:val="24"/>
          <w:szCs w:val="24"/>
        </w:rPr>
        <w:t xml:space="preserve">Waste </w:t>
      </w:r>
      <w:r w:rsidRPr="006A28E3">
        <w:rPr>
          <w:rFonts w:ascii="Times New Roman" w:hAnsi="Times New Roman" w:cs="Times New Roman"/>
          <w:i/>
          <w:iCs/>
          <w:sz w:val="24"/>
          <w:szCs w:val="24"/>
        </w:rPr>
        <w:t xml:space="preserve">Avoidance and </w:t>
      </w:r>
      <w:r w:rsidRPr="009F6E14">
        <w:rPr>
          <w:rFonts w:ascii="Times New Roman" w:hAnsi="Times New Roman" w:cs="Times New Roman"/>
          <w:i/>
          <w:iCs/>
          <w:sz w:val="24"/>
          <w:szCs w:val="24"/>
        </w:rPr>
        <w:t>Resource Recovery Act 20</w:t>
      </w:r>
      <w:r w:rsidRPr="006A28E3">
        <w:rPr>
          <w:rFonts w:ascii="Times New Roman" w:hAnsi="Times New Roman" w:cs="Times New Roman"/>
          <w:i/>
          <w:iCs/>
          <w:sz w:val="24"/>
          <w:szCs w:val="24"/>
        </w:rPr>
        <w:t>07</w:t>
      </w:r>
      <w:r w:rsidRPr="009F6E14">
        <w:rPr>
          <w:rFonts w:ascii="Times New Roman" w:hAnsi="Times New Roman" w:cs="Times New Roman"/>
          <w:i/>
          <w:iCs/>
          <w:sz w:val="24"/>
          <w:szCs w:val="24"/>
        </w:rPr>
        <w:t xml:space="preserve"> </w:t>
      </w:r>
      <w:r w:rsidRPr="00580B1A">
        <w:rPr>
          <w:rFonts w:ascii="Times New Roman" w:hAnsi="Times New Roman" w:cs="Times New Roman"/>
          <w:iCs/>
          <w:sz w:val="24"/>
          <w:szCs w:val="24"/>
        </w:rPr>
        <w:t>(WA)</w:t>
      </w:r>
      <w:r>
        <w:rPr>
          <w:rFonts w:ascii="Times New Roman" w:hAnsi="Times New Roman" w:cs="Times New Roman"/>
          <w:sz w:val="24"/>
          <w:szCs w:val="24"/>
          <w:lang w:eastAsia="en-AU"/>
        </w:rPr>
        <w:t xml:space="preserve">, to the extent that it relates to the WA Container Deposit Scheme, from the operation of the </w:t>
      </w:r>
      <w:r>
        <w:rPr>
          <w:rFonts w:ascii="Times New Roman" w:hAnsi="Times New Roman" w:cs="Times New Roman"/>
          <w:i/>
          <w:iCs/>
          <w:sz w:val="24"/>
          <w:szCs w:val="24"/>
          <w:lang w:eastAsia="en-AU"/>
        </w:rPr>
        <w:t>Mutual Recognition Act 1992</w:t>
      </w:r>
      <w:r>
        <w:rPr>
          <w:rFonts w:ascii="Times New Roman" w:hAnsi="Times New Roman" w:cs="Times New Roman"/>
          <w:sz w:val="24"/>
          <w:szCs w:val="24"/>
          <w:lang w:eastAsia="en-AU"/>
        </w:rPr>
        <w:t>.</w:t>
      </w:r>
    </w:p>
    <w:p w14:paraId="41238CB0" w14:textId="77777777" w:rsidR="001F12B4" w:rsidRDefault="001F12B4" w:rsidP="001F12B4">
      <w:pPr>
        <w:shd w:val="clear" w:color="auto" w:fill="FFFFFF"/>
        <w:spacing w:before="100" w:beforeAutospacing="1" w:after="240"/>
        <w:rPr>
          <w:rFonts w:ascii="Times New Roman" w:hAnsi="Times New Roman" w:cs="Times New Roman"/>
          <w:sz w:val="24"/>
          <w:szCs w:val="24"/>
          <w:lang w:val="en-US" w:eastAsia="en-AU"/>
        </w:rPr>
      </w:pPr>
      <w:r>
        <w:rPr>
          <w:rFonts w:ascii="Times New Roman" w:hAnsi="Times New Roman" w:cs="Times New Roman"/>
          <w:sz w:val="24"/>
          <w:szCs w:val="24"/>
          <w:lang w:val="en-US" w:eastAsia="en-AU"/>
        </w:rPr>
        <w:t>The purpose of the Container Deposit Scheme legislation is to prohibit in WA the supply of beverages in containers unless the containers are approved or specifically excluded. Under the WA Container Deposit Scheme legislation, an approval to supply beverage containers in WA is subject to requirements that the container bear the approved refund marking.</w:t>
      </w:r>
      <w:r>
        <w:rPr>
          <w:rFonts w:ascii="Times New Roman" w:hAnsi="Times New Roman" w:cs="Times New Roman"/>
          <w:sz w:val="24"/>
          <w:szCs w:val="24"/>
          <w:lang w:eastAsia="en-AU"/>
        </w:rPr>
        <w:t xml:space="preserve"> </w:t>
      </w:r>
      <w:r>
        <w:rPr>
          <w:rFonts w:ascii="Times New Roman" w:hAnsi="Times New Roman"/>
          <w:sz w:val="24"/>
          <w:szCs w:val="24"/>
          <w:lang w:val="en-US"/>
        </w:rPr>
        <w:t>E</w:t>
      </w:r>
      <w:r w:rsidRPr="00EB2FEF">
        <w:rPr>
          <w:rFonts w:ascii="Times New Roman" w:hAnsi="Times New Roman"/>
          <w:sz w:val="24"/>
          <w:szCs w:val="24"/>
          <w:lang w:val="en-US"/>
        </w:rPr>
        <w:t>mpty containers, which are subject to an approval, can be delivered to an approved collection depot for the consumer to receive a 10c refund per container.</w:t>
      </w:r>
    </w:p>
    <w:p w14:paraId="0BD91914" w14:textId="77777777" w:rsidR="001F12B4" w:rsidRDefault="001F12B4" w:rsidP="001F12B4">
      <w:pPr>
        <w:shd w:val="clear" w:color="auto" w:fill="FFFFFF"/>
        <w:spacing w:before="240" w:after="240"/>
        <w:rPr>
          <w:rFonts w:ascii="Times New Roman" w:hAnsi="Times New Roman" w:cs="Times New Roman"/>
          <w:sz w:val="24"/>
          <w:szCs w:val="24"/>
          <w:lang w:val="en-US" w:eastAsia="en-AU"/>
        </w:rPr>
      </w:pPr>
      <w:r>
        <w:rPr>
          <w:rFonts w:ascii="Times New Roman" w:hAnsi="Times New Roman" w:cs="Times New Roman"/>
          <w:b/>
          <w:bCs/>
          <w:sz w:val="24"/>
          <w:szCs w:val="24"/>
          <w:lang w:eastAsia="en-AU"/>
        </w:rPr>
        <w:t>Human rights implications</w:t>
      </w:r>
    </w:p>
    <w:p w14:paraId="22A3BF47" w14:textId="77777777" w:rsidR="001F12B4" w:rsidRDefault="001F12B4" w:rsidP="001F12B4">
      <w:pPr>
        <w:shd w:val="clear" w:color="auto" w:fill="FFFFFF"/>
        <w:spacing w:before="120" w:after="120"/>
        <w:rPr>
          <w:rFonts w:ascii="Times New Roman" w:hAnsi="Times New Roman" w:cs="Times New Roman"/>
          <w:sz w:val="24"/>
          <w:szCs w:val="24"/>
          <w:lang w:val="en-US" w:eastAsia="en-AU"/>
        </w:rPr>
      </w:pPr>
      <w:r>
        <w:rPr>
          <w:rFonts w:ascii="Times New Roman" w:hAnsi="Times New Roman" w:cs="Times New Roman"/>
          <w:sz w:val="24"/>
          <w:szCs w:val="24"/>
          <w:lang w:eastAsia="en-AU"/>
        </w:rPr>
        <w:t>These Regulations do not engage any of the applicable rights or freedoms.</w:t>
      </w:r>
    </w:p>
    <w:p w14:paraId="7EEDC44E" w14:textId="77777777" w:rsidR="001F12B4" w:rsidRDefault="001F12B4" w:rsidP="001F12B4">
      <w:pPr>
        <w:shd w:val="clear" w:color="auto" w:fill="FFFFFF"/>
        <w:spacing w:before="240" w:after="240"/>
        <w:rPr>
          <w:rFonts w:ascii="Times New Roman" w:hAnsi="Times New Roman" w:cs="Times New Roman"/>
          <w:sz w:val="24"/>
          <w:szCs w:val="24"/>
          <w:lang w:val="en-US" w:eastAsia="en-AU"/>
        </w:rPr>
      </w:pPr>
      <w:r>
        <w:rPr>
          <w:rFonts w:ascii="Times New Roman" w:hAnsi="Times New Roman" w:cs="Times New Roman"/>
          <w:b/>
          <w:bCs/>
          <w:sz w:val="24"/>
          <w:szCs w:val="24"/>
          <w:lang w:eastAsia="en-AU"/>
        </w:rPr>
        <w:t>Conclusion</w:t>
      </w:r>
    </w:p>
    <w:p w14:paraId="0290E96A" w14:textId="77777777" w:rsidR="001F12B4" w:rsidRDefault="001F12B4" w:rsidP="001F12B4">
      <w:pPr>
        <w:shd w:val="clear" w:color="auto" w:fill="FFFFFF"/>
        <w:spacing w:before="120" w:after="120"/>
        <w:rPr>
          <w:rFonts w:ascii="Times New Roman" w:hAnsi="Times New Roman" w:cs="Times New Roman"/>
          <w:sz w:val="24"/>
          <w:szCs w:val="24"/>
          <w:lang w:eastAsia="en-AU"/>
        </w:rPr>
      </w:pPr>
      <w:r>
        <w:rPr>
          <w:rFonts w:ascii="Times New Roman" w:hAnsi="Times New Roman" w:cs="Times New Roman"/>
          <w:sz w:val="24"/>
          <w:szCs w:val="24"/>
          <w:lang w:eastAsia="en-AU"/>
        </w:rPr>
        <w:t>These Regulations are compatible with human rights as they do not raise any human rights issues.</w:t>
      </w:r>
    </w:p>
    <w:p w14:paraId="0C572B67" w14:textId="77777777" w:rsidR="001F12B4" w:rsidRDefault="001F12B4" w:rsidP="001F12B4">
      <w:pPr>
        <w:shd w:val="clear" w:color="auto" w:fill="FFFFFF"/>
        <w:spacing w:before="120" w:after="120"/>
        <w:rPr>
          <w:rFonts w:ascii="Times New Roman" w:hAnsi="Times New Roman" w:cs="Times New Roman"/>
          <w:sz w:val="24"/>
          <w:szCs w:val="24"/>
          <w:lang w:val="en-US" w:eastAsia="en-AU"/>
        </w:rPr>
      </w:pPr>
    </w:p>
    <w:p w14:paraId="0728C220" w14:textId="77777777" w:rsidR="001F12B4" w:rsidRDefault="001F12B4" w:rsidP="001F12B4">
      <w:pPr>
        <w:spacing w:before="240" w:after="240"/>
        <w:jc w:val="center"/>
        <w:rPr>
          <w:rFonts w:ascii="Times New Roman" w:hAnsi="Times New Roman" w:cs="Times New Roman"/>
          <w:b/>
          <w:sz w:val="24"/>
          <w:szCs w:val="24"/>
        </w:rPr>
      </w:pPr>
      <w:r>
        <w:rPr>
          <w:rFonts w:ascii="Times New Roman" w:hAnsi="Times New Roman" w:cs="Times New Roman"/>
          <w:b/>
          <w:sz w:val="24"/>
          <w:szCs w:val="24"/>
        </w:rPr>
        <w:t>The Hon Karen Andrews MP</w:t>
      </w:r>
    </w:p>
    <w:p w14:paraId="41ABF678" w14:textId="77777777" w:rsidR="001F12B4" w:rsidRPr="00547F8D" w:rsidRDefault="001F12B4" w:rsidP="001F12B4">
      <w:pPr>
        <w:spacing w:before="240" w:after="240"/>
        <w:jc w:val="center"/>
        <w:rPr>
          <w:rFonts w:ascii="Times New Roman" w:hAnsi="Times New Roman" w:cs="Times New Roman"/>
          <w:b/>
          <w:sz w:val="24"/>
          <w:szCs w:val="24"/>
        </w:rPr>
      </w:pPr>
      <w:r>
        <w:rPr>
          <w:rFonts w:ascii="Times New Roman" w:hAnsi="Times New Roman" w:cs="Times New Roman"/>
          <w:b/>
          <w:sz w:val="24"/>
          <w:szCs w:val="24"/>
        </w:rPr>
        <w:t>Minister for Industry, Science and Technology</w:t>
      </w:r>
    </w:p>
    <w:p w14:paraId="7D1B34A8" w14:textId="77777777" w:rsidR="001F12B4" w:rsidRPr="00C362E9" w:rsidRDefault="001F12B4" w:rsidP="001F12B4">
      <w:pPr>
        <w:spacing w:before="240" w:after="240"/>
      </w:pPr>
    </w:p>
    <w:p w14:paraId="4D454B2E" w14:textId="77777777" w:rsidR="00022915" w:rsidRDefault="00022915" w:rsidP="00E638BF">
      <w:pPr>
        <w:spacing w:before="240" w:after="240"/>
        <w:rPr>
          <w:rFonts w:ascii="Times New Roman" w:hAnsi="Times New Roman" w:cs="Times New Roman"/>
          <w:sz w:val="24"/>
          <w:szCs w:val="24"/>
        </w:rPr>
      </w:pPr>
    </w:p>
    <w:p w14:paraId="2F84BDAE" w14:textId="77777777" w:rsidR="00022915" w:rsidRDefault="00022915" w:rsidP="00E638BF">
      <w:pPr>
        <w:spacing w:before="240" w:after="240"/>
        <w:rPr>
          <w:rFonts w:ascii="Times New Roman" w:hAnsi="Times New Roman" w:cs="Times New Roman"/>
          <w:sz w:val="24"/>
          <w:szCs w:val="24"/>
        </w:rPr>
      </w:pPr>
    </w:p>
    <w:p w14:paraId="7EF29CA1" w14:textId="77777777" w:rsidR="00022915" w:rsidRDefault="00022915" w:rsidP="00E638BF">
      <w:pPr>
        <w:spacing w:before="240" w:after="240"/>
        <w:rPr>
          <w:rFonts w:ascii="Times New Roman" w:hAnsi="Times New Roman" w:cs="Times New Roman"/>
          <w:sz w:val="24"/>
          <w:szCs w:val="24"/>
        </w:rPr>
      </w:pPr>
    </w:p>
    <w:p w14:paraId="660DD194" w14:textId="77777777" w:rsidR="00022915" w:rsidRDefault="00022915" w:rsidP="00E638BF">
      <w:pPr>
        <w:spacing w:before="240" w:after="240"/>
        <w:rPr>
          <w:rFonts w:ascii="Times New Roman" w:hAnsi="Times New Roman" w:cs="Times New Roman"/>
          <w:sz w:val="24"/>
          <w:szCs w:val="24"/>
        </w:rPr>
      </w:pPr>
    </w:p>
    <w:p w14:paraId="1F07B663" w14:textId="77777777" w:rsidR="00022915" w:rsidRDefault="00022915" w:rsidP="00E638BF">
      <w:pPr>
        <w:spacing w:before="240" w:after="240"/>
        <w:rPr>
          <w:rFonts w:ascii="Times New Roman" w:hAnsi="Times New Roman" w:cs="Times New Roman"/>
          <w:sz w:val="24"/>
          <w:szCs w:val="24"/>
        </w:rPr>
      </w:pPr>
    </w:p>
    <w:p w14:paraId="0D5ED76B" w14:textId="77777777" w:rsidR="00022915" w:rsidRDefault="00022915" w:rsidP="00E638BF">
      <w:pPr>
        <w:spacing w:before="240" w:after="240"/>
        <w:rPr>
          <w:rFonts w:ascii="Times New Roman" w:hAnsi="Times New Roman" w:cs="Times New Roman"/>
          <w:sz w:val="24"/>
          <w:szCs w:val="24"/>
        </w:rPr>
      </w:pPr>
    </w:p>
    <w:p w14:paraId="681F7FEC" w14:textId="77777777" w:rsidR="00022915" w:rsidRDefault="00022915" w:rsidP="00E638BF">
      <w:pPr>
        <w:spacing w:before="240" w:after="240"/>
        <w:rPr>
          <w:rFonts w:ascii="Times New Roman" w:hAnsi="Times New Roman" w:cs="Times New Roman"/>
          <w:sz w:val="24"/>
          <w:szCs w:val="24"/>
        </w:rPr>
      </w:pPr>
    </w:p>
    <w:p w14:paraId="5CB9E9B2" w14:textId="77777777" w:rsidR="00E638BF" w:rsidRDefault="00E638BF" w:rsidP="00E638BF">
      <w:pPr>
        <w:spacing w:before="240" w:after="240"/>
        <w:rPr>
          <w:rFonts w:ascii="Times New Roman" w:hAnsi="Times New Roman" w:cs="Times New Roman"/>
          <w:sz w:val="24"/>
          <w:szCs w:val="24"/>
        </w:rPr>
      </w:pPr>
    </w:p>
    <w:tbl>
      <w:tblPr>
        <w:tblW w:w="10065" w:type="dxa"/>
        <w:tblLayout w:type="fixed"/>
        <w:tblLook w:val="0000" w:firstRow="0" w:lastRow="0" w:firstColumn="0" w:lastColumn="0" w:noHBand="0" w:noVBand="0"/>
      </w:tblPr>
      <w:tblGrid>
        <w:gridCol w:w="6663"/>
        <w:gridCol w:w="3402"/>
      </w:tblGrid>
      <w:tr w:rsidR="00022915" w14:paraId="3F1E33CA" w14:textId="77777777" w:rsidTr="00C53AB1">
        <w:trPr>
          <w:trHeight w:hRule="exact" w:val="1701"/>
        </w:trPr>
        <w:tc>
          <w:tcPr>
            <w:tcW w:w="6663" w:type="dxa"/>
          </w:tcPr>
          <w:p w14:paraId="619C0B8A" w14:textId="77777777" w:rsidR="00022915" w:rsidRDefault="00022915" w:rsidP="00C53AB1">
            <w:r w:rsidRPr="00907485">
              <w:rPr>
                <w:noProof/>
                <w:lang w:eastAsia="en-AU"/>
              </w:rPr>
              <w:drawing>
                <wp:inline distT="0" distB="0" distL="0" distR="0" wp14:anchorId="02C3C54E" wp14:editId="2B750380">
                  <wp:extent cx="3909060" cy="670560"/>
                  <wp:effectExtent l="0" t="0" r="0" b="0"/>
                  <wp:docPr id="2" name="Picture 2" descr="Logo for the Department of Water and Environmental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ttanp\Desktop\DWER Logo\Black and white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9060" cy="670560"/>
                          </a:xfrm>
                          <a:prstGeom prst="rect">
                            <a:avLst/>
                          </a:prstGeom>
                          <a:noFill/>
                          <a:ln>
                            <a:noFill/>
                          </a:ln>
                        </pic:spPr>
                      </pic:pic>
                    </a:graphicData>
                  </a:graphic>
                </wp:inline>
              </w:drawing>
            </w:r>
          </w:p>
          <w:p w14:paraId="3A738EEA" w14:textId="77777777" w:rsidR="00022915" w:rsidRDefault="00022915" w:rsidP="00C53AB1"/>
        </w:tc>
        <w:tc>
          <w:tcPr>
            <w:tcW w:w="3402" w:type="dxa"/>
          </w:tcPr>
          <w:p w14:paraId="7E3E826B" w14:textId="77777777" w:rsidR="00022915" w:rsidRDefault="00022915" w:rsidP="00C53AB1"/>
        </w:tc>
      </w:tr>
      <w:tr w:rsidR="00022915" w14:paraId="429B5171" w14:textId="77777777" w:rsidTr="00C53AB1">
        <w:trPr>
          <w:trHeight w:hRule="exact" w:val="8993"/>
        </w:trPr>
        <w:tc>
          <w:tcPr>
            <w:tcW w:w="6663" w:type="dxa"/>
          </w:tcPr>
          <w:p w14:paraId="04B59C09" w14:textId="77777777" w:rsidR="00022915" w:rsidRDefault="00022915" w:rsidP="00C53AB1">
            <w:pPr>
              <w:pStyle w:val="Title"/>
            </w:pPr>
            <w:bookmarkStart w:id="1" w:name="Editing"/>
            <w:bookmarkEnd w:id="1"/>
            <w:r>
              <w:t>Decision</w:t>
            </w:r>
            <w:r w:rsidRPr="00FA5348">
              <w:t xml:space="preserve"> Regulation</w:t>
            </w:r>
            <w:r>
              <w:br/>
            </w:r>
            <w:r w:rsidRPr="00FA5348">
              <w:t>Impact Statement</w:t>
            </w:r>
          </w:p>
          <w:p w14:paraId="462FBBF8" w14:textId="77777777" w:rsidR="00022915" w:rsidRDefault="00022915" w:rsidP="00C53AB1">
            <w:r>
              <w:t xml:space="preserve">Western Australian </w:t>
            </w:r>
            <w:r w:rsidRPr="006E1F0B">
              <w:t xml:space="preserve">Container Deposit Scheme </w:t>
            </w:r>
          </w:p>
          <w:p w14:paraId="304AE380" w14:textId="77777777" w:rsidR="00022915" w:rsidRDefault="00022915" w:rsidP="00C53AB1"/>
          <w:p w14:paraId="44066723" w14:textId="77777777" w:rsidR="00022915" w:rsidRPr="00C17276" w:rsidRDefault="00022915" w:rsidP="00C53AB1"/>
          <w:p w14:paraId="44AF880D" w14:textId="77777777" w:rsidR="00022915" w:rsidRPr="00C17276" w:rsidRDefault="00022915" w:rsidP="00C53AB1"/>
          <w:p w14:paraId="1D032880" w14:textId="77777777" w:rsidR="00022915" w:rsidRPr="00C17276" w:rsidRDefault="00022915" w:rsidP="00C53AB1"/>
          <w:p w14:paraId="1D357ECF" w14:textId="77777777" w:rsidR="00022915" w:rsidRPr="00C17276" w:rsidRDefault="00022915" w:rsidP="00C53AB1"/>
          <w:p w14:paraId="284E898B" w14:textId="77777777" w:rsidR="00022915" w:rsidRPr="00C17276" w:rsidRDefault="00022915" w:rsidP="00C53AB1"/>
          <w:p w14:paraId="67FF51C4" w14:textId="77777777" w:rsidR="00022915" w:rsidRPr="00C17276" w:rsidRDefault="00022915" w:rsidP="00C53AB1"/>
          <w:p w14:paraId="48F0B5DA" w14:textId="77777777" w:rsidR="00022915" w:rsidRPr="00C17276" w:rsidRDefault="00022915" w:rsidP="00C53AB1"/>
        </w:tc>
        <w:tc>
          <w:tcPr>
            <w:tcW w:w="3402" w:type="dxa"/>
          </w:tcPr>
          <w:p w14:paraId="557D4A61" w14:textId="77777777" w:rsidR="00022915" w:rsidRDefault="00022915" w:rsidP="00C53AB1"/>
        </w:tc>
      </w:tr>
      <w:tr w:rsidR="00022915" w14:paraId="4C0D8FE9" w14:textId="77777777" w:rsidTr="00C53AB1">
        <w:trPr>
          <w:trHeight w:hRule="exact" w:val="2524"/>
        </w:trPr>
        <w:tc>
          <w:tcPr>
            <w:tcW w:w="10065" w:type="dxa"/>
            <w:gridSpan w:val="2"/>
          </w:tcPr>
          <w:p w14:paraId="5B902C99" w14:textId="77777777" w:rsidR="00022915" w:rsidRPr="00365BAD" w:rsidRDefault="0085070F" w:rsidP="00C53AB1">
            <w:fldSimple w:instr=" DOCVARIABLE  Office  \* CHARFORMAT ">
              <w:r w:rsidR="00022915">
                <w:t>Department of Water</w:t>
              </w:r>
            </w:fldSimple>
            <w:r w:rsidR="00022915" w:rsidRPr="00365BAD">
              <w:t xml:space="preserve"> and Environmental Regulation</w:t>
            </w:r>
          </w:p>
          <w:p w14:paraId="450BCD89" w14:textId="77777777" w:rsidR="00022915" w:rsidRDefault="00022915" w:rsidP="00C53AB1">
            <w:r>
              <w:t>July</w:t>
            </w:r>
            <w:r w:rsidRPr="00365BAD">
              <w:t xml:space="preserve"> 201</w:t>
            </w:r>
            <w:r>
              <w:t>9</w:t>
            </w:r>
          </w:p>
          <w:p w14:paraId="70D8E672" w14:textId="77777777" w:rsidR="00022915" w:rsidRDefault="00022915" w:rsidP="00C53AB1"/>
        </w:tc>
      </w:tr>
    </w:tbl>
    <w:p w14:paraId="3F56B815" w14:textId="77777777" w:rsidR="00022915" w:rsidRDefault="00022915" w:rsidP="00022915">
      <w:pPr>
        <w:pStyle w:val="ImprinttextSCT"/>
        <w:spacing w:line="240" w:lineRule="auto"/>
      </w:pPr>
      <w:bookmarkStart w:id="2" w:name="_Toc142884487"/>
      <w:bookmarkStart w:id="3" w:name="_Toc142884715"/>
      <w:bookmarkStart w:id="4" w:name="_Toc142886816"/>
      <w:bookmarkStart w:id="5" w:name="_Toc143404603"/>
    </w:p>
    <w:p w14:paraId="7CE0E0AE" w14:textId="77777777" w:rsidR="00022915" w:rsidRPr="00060BC8" w:rsidRDefault="00022915" w:rsidP="00022915">
      <w:pPr>
        <w:pStyle w:val="ImprinttextSCT"/>
        <w:spacing w:before="0" w:after="0"/>
      </w:pPr>
      <w:bookmarkStart w:id="6" w:name="Foreword"/>
      <w:r w:rsidRPr="00B507DF">
        <w:t xml:space="preserve">Department of </w:t>
      </w:r>
      <w:r>
        <w:t>Water and Environmental Regulation</w:t>
      </w:r>
      <w:r w:rsidRPr="00222881">
        <w:br/>
      </w:r>
      <w:r w:rsidRPr="00060BC8">
        <w:t>8 Davidson Terrace</w:t>
      </w:r>
    </w:p>
    <w:p w14:paraId="5A18785B" w14:textId="77777777" w:rsidR="00022915" w:rsidRDefault="00022915" w:rsidP="00022915">
      <w:pPr>
        <w:pStyle w:val="ImprinttextSCT"/>
        <w:spacing w:before="0" w:after="0" w:line="240" w:lineRule="auto"/>
      </w:pPr>
      <w:r w:rsidRPr="00060BC8">
        <w:t>Joondalup Western Australia 6027</w:t>
      </w:r>
      <w:r w:rsidRPr="00626DEC">
        <w:br/>
        <w:t>Telephone</w:t>
      </w:r>
      <w:r w:rsidRPr="00626DEC">
        <w:tab/>
        <w:t>+61 8 6364 7</w:t>
      </w:r>
      <w:r>
        <w:t>0</w:t>
      </w:r>
      <w:r w:rsidRPr="00626DEC">
        <w:t>00</w:t>
      </w:r>
      <w:r w:rsidRPr="00626DEC">
        <w:br/>
        <w:t>Facs</w:t>
      </w:r>
      <w:r>
        <w:t>imile</w:t>
      </w:r>
      <w:r>
        <w:tab/>
        <w:t>+61 8 6364 7001</w:t>
      </w:r>
    </w:p>
    <w:p w14:paraId="77CE32B7" w14:textId="77777777" w:rsidR="00022915" w:rsidRPr="00626DEC" w:rsidRDefault="00022915" w:rsidP="00022915">
      <w:pPr>
        <w:pStyle w:val="ImprinttextSCT"/>
        <w:spacing w:line="240" w:lineRule="auto"/>
      </w:pPr>
      <w:r>
        <w:t>National Relay Service 13 36 77</w:t>
      </w:r>
      <w:r>
        <w:br/>
      </w:r>
      <w:r w:rsidRPr="00626DEC">
        <w:t>www.</w:t>
      </w:r>
      <w:r>
        <w:t>dwer</w:t>
      </w:r>
      <w:r w:rsidRPr="00626DEC">
        <w:t xml:space="preserve">.wa.gov.au </w:t>
      </w:r>
    </w:p>
    <w:p w14:paraId="3C7C99C1" w14:textId="77777777" w:rsidR="00022915" w:rsidRPr="00626DEC" w:rsidRDefault="00022915" w:rsidP="00022915">
      <w:pPr>
        <w:pStyle w:val="ImprinttextSCT"/>
        <w:spacing w:line="240" w:lineRule="auto"/>
      </w:pPr>
      <w:r w:rsidRPr="00626DEC">
        <w:t xml:space="preserve">© Government of </w:t>
      </w:r>
      <w:r>
        <w:t xml:space="preserve">Western Australia </w:t>
      </w:r>
    </w:p>
    <w:p w14:paraId="132363F2" w14:textId="77777777" w:rsidR="00022915" w:rsidRDefault="00022915" w:rsidP="00022915">
      <w:pPr>
        <w:pStyle w:val="ImprinttextSCT"/>
        <w:spacing w:line="240" w:lineRule="auto"/>
      </w:pPr>
      <w:r>
        <w:t>July</w:t>
      </w:r>
      <w:r w:rsidRPr="00365BAD">
        <w:t xml:space="preserve"> 201</w:t>
      </w:r>
      <w:r>
        <w:t>9</w:t>
      </w:r>
    </w:p>
    <w:p w14:paraId="4FBE04CB" w14:textId="77777777" w:rsidR="00022915" w:rsidRPr="00DA1F84" w:rsidRDefault="00022915" w:rsidP="00022915">
      <w:pPr>
        <w:pStyle w:val="ImprinttextSCT"/>
        <w:spacing w:line="240" w:lineRule="auto"/>
      </w:pPr>
      <w:r w:rsidRPr="00DA1F84">
        <w:t xml:space="preserve">This work is copyright. You may download, display, print and reproduce this material in unaltered form only (retaining this notice) for your personal, non-commercial use or use within your organisation. Apart from any use as permitted under the </w:t>
      </w:r>
      <w:r w:rsidRPr="00DA1F84">
        <w:rPr>
          <w:i/>
        </w:rPr>
        <w:t>Copyright Act 1968</w:t>
      </w:r>
      <w:r w:rsidRPr="00DA1F84">
        <w:t>, all other rights are reserved. Requests and inquiries concerning reproduction and rights should be addressed to the Department of Water</w:t>
      </w:r>
      <w:r>
        <w:t xml:space="preserve"> and Environmental Regulation</w:t>
      </w:r>
      <w:r w:rsidRPr="00DA1F84">
        <w:t>.</w:t>
      </w:r>
    </w:p>
    <w:p w14:paraId="47CABD55" w14:textId="77777777" w:rsidR="00022915" w:rsidRDefault="00022915" w:rsidP="00022915">
      <w:pPr>
        <w:pStyle w:val="ImprinttextSCT"/>
        <w:spacing w:line="240" w:lineRule="auto"/>
      </w:pPr>
    </w:p>
    <w:p w14:paraId="47CE3AB3" w14:textId="77777777" w:rsidR="00022915" w:rsidRDefault="00022915" w:rsidP="00022915">
      <w:pPr>
        <w:pStyle w:val="ImprinttextSCT"/>
        <w:spacing w:line="240" w:lineRule="auto"/>
      </w:pPr>
    </w:p>
    <w:p w14:paraId="4DAEB02E" w14:textId="77777777" w:rsidR="00022915" w:rsidRDefault="00022915" w:rsidP="00022915">
      <w:pPr>
        <w:pStyle w:val="ImprinttextSCT"/>
        <w:spacing w:line="240" w:lineRule="auto"/>
      </w:pPr>
      <w:r w:rsidRPr="00626DEC">
        <w:t>For more information about this report, contact</w:t>
      </w:r>
      <w:r w:rsidRPr="00626DEC">
        <w:br/>
      </w:r>
      <w:hyperlink r:id="rId11" w:history="1">
        <w:r w:rsidRPr="00FA3480">
          <w:rPr>
            <w:rStyle w:val="Hyperlink"/>
          </w:rPr>
          <w:t>cds@dwer.wa.gov.au</w:t>
        </w:r>
      </w:hyperlink>
    </w:p>
    <w:p w14:paraId="41A9B5AB" w14:textId="77777777" w:rsidR="00022915" w:rsidRDefault="00022915" w:rsidP="00022915">
      <w:pPr>
        <w:pStyle w:val="ImprinttextSCT"/>
        <w:spacing w:line="240" w:lineRule="auto"/>
      </w:pPr>
    </w:p>
    <w:p w14:paraId="26AB3C9C" w14:textId="77777777" w:rsidR="00022915" w:rsidRPr="00930DB8" w:rsidRDefault="00022915" w:rsidP="00022915">
      <w:pPr>
        <w:pStyle w:val="ImprinttextSCT"/>
        <w:spacing w:line="240" w:lineRule="auto"/>
      </w:pPr>
      <w:r w:rsidRPr="00930DB8">
        <w:t>Disclaimer</w:t>
      </w:r>
    </w:p>
    <w:p w14:paraId="1240FE32" w14:textId="77777777" w:rsidR="00022915" w:rsidRDefault="00022915" w:rsidP="00022915">
      <w:pPr>
        <w:pStyle w:val="ImprinttextSCT"/>
        <w:spacing w:line="240" w:lineRule="auto"/>
      </w:pPr>
      <w:r w:rsidRPr="001D15B5">
        <w:t>This document has been published by the Department of Water</w:t>
      </w:r>
      <w:r>
        <w:t xml:space="preserve"> and Environmental Regulation</w:t>
      </w:r>
      <w:r w:rsidRPr="001D15B5">
        <w:t>. Any representation, statement, opinion or advice expressed or implied in this publication is made in good faith and on the basi</w:t>
      </w:r>
      <w:r>
        <w:t xml:space="preserve">s that the Department of Water and Environmental Regulation and </w:t>
      </w:r>
      <w:r w:rsidRPr="001D15B5">
        <w:t>its employees are not liable for any damage or loss whatsoever which may occur as a result of action taken or not taken, as the case may be in respect of any representation, statement, opinion or advice referred to herein. Professional advice should be obtained before applying the information contained in this document to particular circumstances.</w:t>
      </w:r>
    </w:p>
    <w:p w14:paraId="62648F9D" w14:textId="77777777" w:rsidR="00022915" w:rsidRPr="00AD2C56" w:rsidRDefault="00022915" w:rsidP="00022915">
      <w:pPr>
        <w:pStyle w:val="ImprinttextSCT"/>
        <w:spacing w:line="240" w:lineRule="auto"/>
      </w:pPr>
    </w:p>
    <w:p w14:paraId="46E676DE" w14:textId="77777777" w:rsidR="00022915" w:rsidRDefault="00022915" w:rsidP="00022915">
      <w:pPr>
        <w:pStyle w:val="ImprinttextSCT"/>
        <w:spacing w:line="240" w:lineRule="auto"/>
      </w:pPr>
      <w:r w:rsidRPr="00F37D6F">
        <w:t>This publication is available at our website</w:t>
      </w:r>
      <w:r>
        <w:t xml:space="preserve"> </w:t>
      </w:r>
      <w:hyperlink r:id="rId12" w:history="1">
        <w:r w:rsidRPr="007B71AD">
          <w:t>www.dwer.wa.gov.au</w:t>
        </w:r>
      </w:hyperlink>
      <w:r>
        <w:t xml:space="preserve"> </w:t>
      </w:r>
      <w:r w:rsidRPr="00F37D6F">
        <w:t>or for those with special needs it can be made available in alternative formats such as audio, large print, or Braill</w:t>
      </w:r>
      <w:r>
        <w:t>e.</w:t>
      </w:r>
    </w:p>
    <w:p w14:paraId="126AEDA8" w14:textId="77777777" w:rsidR="00022915" w:rsidRDefault="00022915" w:rsidP="00022915">
      <w:pPr>
        <w:pStyle w:val="ImprinttextSCT"/>
        <w:spacing w:line="240" w:lineRule="auto"/>
        <w:sectPr w:rsidR="00022915" w:rsidSect="001F12B4">
          <w:pgSz w:w="11906" w:h="16838"/>
          <w:pgMar w:top="1440" w:right="1440" w:bottom="1440" w:left="1440" w:header="720" w:footer="720" w:gutter="0"/>
          <w:pgNumType w:fmt="lowerRoman"/>
          <w:cols w:space="708"/>
          <w:docGrid w:linePitch="360"/>
        </w:sectPr>
      </w:pPr>
    </w:p>
    <w:p w14:paraId="2B2BF2B1" w14:textId="77777777" w:rsidR="00022915" w:rsidRDefault="00022915" w:rsidP="00022915">
      <w:pPr>
        <w:pStyle w:val="Heading1nonumbering"/>
      </w:pPr>
      <w:bookmarkStart w:id="7" w:name="_Toc142884488"/>
      <w:bookmarkStart w:id="8" w:name="_Toc142884716"/>
      <w:bookmarkStart w:id="9" w:name="_Toc142886817"/>
      <w:bookmarkStart w:id="10" w:name="_Toc222718704"/>
      <w:bookmarkStart w:id="11" w:name="_Toc9375359"/>
      <w:bookmarkEnd w:id="2"/>
      <w:bookmarkEnd w:id="3"/>
      <w:bookmarkEnd w:id="4"/>
      <w:bookmarkEnd w:id="5"/>
      <w:bookmarkEnd w:id="6"/>
      <w:r>
        <w:t>Contents</w:t>
      </w:r>
      <w:bookmarkEnd w:id="7"/>
      <w:bookmarkEnd w:id="8"/>
      <w:bookmarkEnd w:id="9"/>
      <w:bookmarkEnd w:id="10"/>
      <w:bookmarkEnd w:id="11"/>
    </w:p>
    <w:bookmarkStart w:id="12" w:name="_Toc142884491"/>
    <w:bookmarkStart w:id="13" w:name="_Toc142884720"/>
    <w:bookmarkStart w:id="14" w:name="_Toc142886821"/>
    <w:p w14:paraId="500A2DAB" w14:textId="77777777" w:rsidR="00022915" w:rsidRDefault="00022915" w:rsidP="00022915">
      <w:pPr>
        <w:pStyle w:val="TOC1"/>
        <w:rPr>
          <w:rFonts w:asciiTheme="minorHAnsi" w:eastAsiaTheme="minorEastAsia" w:hAnsiTheme="minorHAnsi" w:cstheme="minorBidi"/>
          <w:sz w:val="22"/>
          <w:szCs w:val="22"/>
          <w:lang w:eastAsia="en-AU"/>
        </w:rPr>
      </w:pPr>
      <w:r>
        <w:fldChar w:fldCharType="begin"/>
      </w:r>
      <w:r>
        <w:instrText xml:space="preserve"> TOC \t "Heading 1,1,Heading 2,2,Heading 1 no numbering,1,Heading 2 no numbering,2,Appendix heading 3,3" </w:instrText>
      </w:r>
      <w:r>
        <w:fldChar w:fldCharType="separate"/>
      </w:r>
      <w:r>
        <w:t>Contents</w:t>
      </w:r>
      <w:r>
        <w:tab/>
      </w:r>
      <w:r>
        <w:fldChar w:fldCharType="begin"/>
      </w:r>
      <w:r>
        <w:instrText xml:space="preserve"> PAGEREF _Toc9375359 \h </w:instrText>
      </w:r>
      <w:r>
        <w:fldChar w:fldCharType="separate"/>
      </w:r>
      <w:r>
        <w:t>iii</w:t>
      </w:r>
      <w:r>
        <w:fldChar w:fldCharType="end"/>
      </w:r>
    </w:p>
    <w:p w14:paraId="3186C9E5" w14:textId="77777777" w:rsidR="00022915" w:rsidRDefault="00022915" w:rsidP="00022915">
      <w:pPr>
        <w:pStyle w:val="TOC1"/>
        <w:rPr>
          <w:rFonts w:asciiTheme="minorHAnsi" w:eastAsiaTheme="minorEastAsia" w:hAnsiTheme="minorHAnsi" w:cstheme="minorBidi"/>
          <w:sz w:val="22"/>
          <w:szCs w:val="22"/>
          <w:lang w:eastAsia="en-AU"/>
        </w:rPr>
      </w:pPr>
      <w:r>
        <w:t>Summary</w:t>
      </w:r>
      <w:r>
        <w:tab/>
      </w:r>
      <w:r>
        <w:fldChar w:fldCharType="begin"/>
      </w:r>
      <w:r>
        <w:instrText xml:space="preserve"> PAGEREF _Toc9375360 \h </w:instrText>
      </w:r>
      <w:r>
        <w:fldChar w:fldCharType="separate"/>
      </w:r>
      <w:r>
        <w:t>v</w:t>
      </w:r>
      <w:r>
        <w:fldChar w:fldCharType="end"/>
      </w:r>
    </w:p>
    <w:p w14:paraId="1AFC28B1" w14:textId="77777777" w:rsidR="00022915" w:rsidRDefault="00022915" w:rsidP="00022915">
      <w:pPr>
        <w:pStyle w:val="TOC1"/>
        <w:rPr>
          <w:rFonts w:asciiTheme="minorHAnsi" w:eastAsiaTheme="minorEastAsia" w:hAnsiTheme="minorHAnsi" w:cstheme="minorBidi"/>
          <w:sz w:val="22"/>
          <w:szCs w:val="22"/>
          <w:lang w:eastAsia="en-AU"/>
        </w:rPr>
      </w:pPr>
      <w:r>
        <w:t>1</w:t>
      </w:r>
      <w:r>
        <w:rPr>
          <w:rFonts w:asciiTheme="minorHAnsi" w:eastAsiaTheme="minorEastAsia" w:hAnsiTheme="minorHAnsi" w:cstheme="minorBidi"/>
          <w:sz w:val="22"/>
          <w:szCs w:val="22"/>
          <w:lang w:eastAsia="en-AU"/>
        </w:rPr>
        <w:tab/>
      </w:r>
      <w:r>
        <w:t>Statement of the problem</w:t>
      </w:r>
      <w:r>
        <w:tab/>
      </w:r>
      <w:r>
        <w:fldChar w:fldCharType="begin"/>
      </w:r>
      <w:r>
        <w:instrText xml:space="preserve"> PAGEREF _Toc9375361 \h </w:instrText>
      </w:r>
      <w:r>
        <w:fldChar w:fldCharType="separate"/>
      </w:r>
      <w:r>
        <w:t>1</w:t>
      </w:r>
      <w:r>
        <w:fldChar w:fldCharType="end"/>
      </w:r>
    </w:p>
    <w:p w14:paraId="56B1C140" w14:textId="77777777" w:rsidR="00022915" w:rsidRDefault="00022915" w:rsidP="00022915">
      <w:pPr>
        <w:pStyle w:val="TOC2"/>
        <w:tabs>
          <w:tab w:val="left" w:pos="851"/>
        </w:tabs>
        <w:rPr>
          <w:rFonts w:asciiTheme="minorHAnsi" w:eastAsiaTheme="minorEastAsia" w:hAnsiTheme="minorHAnsi" w:cstheme="minorBidi"/>
          <w:sz w:val="22"/>
          <w:szCs w:val="22"/>
          <w:lang w:eastAsia="en-AU"/>
        </w:rPr>
      </w:pPr>
      <w:r>
        <w:t>1.1</w:t>
      </w:r>
      <w:r>
        <w:rPr>
          <w:rFonts w:asciiTheme="minorHAnsi" w:eastAsiaTheme="minorEastAsia" w:hAnsiTheme="minorHAnsi" w:cstheme="minorBidi"/>
          <w:sz w:val="22"/>
          <w:szCs w:val="22"/>
          <w:lang w:eastAsia="en-AU"/>
        </w:rPr>
        <w:tab/>
      </w:r>
      <w:r>
        <w:t>Market failure</w:t>
      </w:r>
      <w:r>
        <w:tab/>
      </w:r>
      <w:r>
        <w:fldChar w:fldCharType="begin"/>
      </w:r>
      <w:r>
        <w:instrText xml:space="preserve"> PAGEREF _Toc9375362 \h </w:instrText>
      </w:r>
      <w:r>
        <w:fldChar w:fldCharType="separate"/>
      </w:r>
      <w:r>
        <w:t>1</w:t>
      </w:r>
      <w:r>
        <w:fldChar w:fldCharType="end"/>
      </w:r>
    </w:p>
    <w:p w14:paraId="7C4FA1DE" w14:textId="77777777" w:rsidR="00022915" w:rsidRDefault="00022915" w:rsidP="00022915">
      <w:pPr>
        <w:pStyle w:val="TOC2"/>
        <w:tabs>
          <w:tab w:val="left" w:pos="851"/>
        </w:tabs>
        <w:rPr>
          <w:rFonts w:asciiTheme="minorHAnsi" w:eastAsiaTheme="minorEastAsia" w:hAnsiTheme="minorHAnsi" w:cstheme="minorBidi"/>
          <w:sz w:val="22"/>
          <w:szCs w:val="22"/>
          <w:lang w:eastAsia="en-AU"/>
        </w:rPr>
      </w:pPr>
      <w:r>
        <w:t>1.2</w:t>
      </w:r>
      <w:r>
        <w:rPr>
          <w:rFonts w:asciiTheme="minorHAnsi" w:eastAsiaTheme="minorEastAsia" w:hAnsiTheme="minorHAnsi" w:cstheme="minorBidi"/>
          <w:sz w:val="22"/>
          <w:szCs w:val="22"/>
          <w:lang w:eastAsia="en-AU"/>
        </w:rPr>
        <w:tab/>
      </w:r>
      <w:r>
        <w:t>Beverage container disposal in Western Australia</w:t>
      </w:r>
      <w:r>
        <w:tab/>
      </w:r>
      <w:r>
        <w:fldChar w:fldCharType="begin"/>
      </w:r>
      <w:r>
        <w:instrText xml:space="preserve"> PAGEREF _Toc9375363 \h </w:instrText>
      </w:r>
      <w:r>
        <w:fldChar w:fldCharType="separate"/>
      </w:r>
      <w:r>
        <w:t>4</w:t>
      </w:r>
      <w:r>
        <w:fldChar w:fldCharType="end"/>
      </w:r>
    </w:p>
    <w:p w14:paraId="1601B7E3" w14:textId="77777777" w:rsidR="00022915" w:rsidRDefault="00022915" w:rsidP="00022915">
      <w:pPr>
        <w:pStyle w:val="TOC2"/>
        <w:tabs>
          <w:tab w:val="left" w:pos="851"/>
        </w:tabs>
        <w:rPr>
          <w:rFonts w:asciiTheme="minorHAnsi" w:eastAsiaTheme="minorEastAsia" w:hAnsiTheme="minorHAnsi" w:cstheme="minorBidi"/>
          <w:sz w:val="22"/>
          <w:szCs w:val="22"/>
          <w:lang w:eastAsia="en-AU"/>
        </w:rPr>
      </w:pPr>
      <w:r>
        <w:t>1.3</w:t>
      </w:r>
      <w:r>
        <w:rPr>
          <w:rFonts w:asciiTheme="minorHAnsi" w:eastAsiaTheme="minorEastAsia" w:hAnsiTheme="minorHAnsi" w:cstheme="minorBidi"/>
          <w:sz w:val="22"/>
          <w:szCs w:val="22"/>
          <w:lang w:eastAsia="en-AU"/>
        </w:rPr>
        <w:tab/>
      </w:r>
      <w:r>
        <w:t>Requirement for a Regulatory Impact Statement</w:t>
      </w:r>
      <w:r>
        <w:tab/>
      </w:r>
      <w:r>
        <w:fldChar w:fldCharType="begin"/>
      </w:r>
      <w:r>
        <w:instrText xml:space="preserve"> PAGEREF _Toc9375364 \h </w:instrText>
      </w:r>
      <w:r>
        <w:fldChar w:fldCharType="separate"/>
      </w:r>
      <w:r>
        <w:t>4</w:t>
      </w:r>
      <w:r>
        <w:fldChar w:fldCharType="end"/>
      </w:r>
    </w:p>
    <w:p w14:paraId="5AF84B37" w14:textId="77777777" w:rsidR="00022915" w:rsidRDefault="00022915" w:rsidP="00022915">
      <w:pPr>
        <w:pStyle w:val="TOC2"/>
        <w:tabs>
          <w:tab w:val="left" w:pos="851"/>
        </w:tabs>
        <w:rPr>
          <w:rFonts w:asciiTheme="minorHAnsi" w:eastAsiaTheme="minorEastAsia" w:hAnsiTheme="minorHAnsi" w:cstheme="minorBidi"/>
          <w:sz w:val="22"/>
          <w:szCs w:val="22"/>
          <w:lang w:eastAsia="en-AU"/>
        </w:rPr>
      </w:pPr>
      <w:r>
        <w:t>1.4</w:t>
      </w:r>
      <w:r>
        <w:rPr>
          <w:rFonts w:asciiTheme="minorHAnsi" w:eastAsiaTheme="minorEastAsia" w:hAnsiTheme="minorHAnsi" w:cstheme="minorBidi"/>
          <w:sz w:val="22"/>
          <w:szCs w:val="22"/>
          <w:lang w:eastAsia="en-AU"/>
        </w:rPr>
        <w:tab/>
      </w:r>
      <w:r>
        <w:t>Scope of the proposed mutual recognition exemption</w:t>
      </w:r>
      <w:r>
        <w:tab/>
      </w:r>
      <w:r>
        <w:fldChar w:fldCharType="begin"/>
      </w:r>
      <w:r>
        <w:instrText xml:space="preserve"> PAGEREF _Toc9375365 \h </w:instrText>
      </w:r>
      <w:r>
        <w:fldChar w:fldCharType="separate"/>
      </w:r>
      <w:r>
        <w:t>6</w:t>
      </w:r>
      <w:r>
        <w:fldChar w:fldCharType="end"/>
      </w:r>
    </w:p>
    <w:p w14:paraId="026A6F53" w14:textId="77777777" w:rsidR="00022915" w:rsidRDefault="00022915" w:rsidP="00022915">
      <w:pPr>
        <w:pStyle w:val="TOC1"/>
        <w:rPr>
          <w:rFonts w:asciiTheme="minorHAnsi" w:eastAsiaTheme="minorEastAsia" w:hAnsiTheme="minorHAnsi" w:cstheme="minorBidi"/>
          <w:sz w:val="22"/>
          <w:szCs w:val="22"/>
          <w:lang w:eastAsia="en-AU"/>
        </w:rPr>
      </w:pPr>
      <w:r>
        <w:t>2</w:t>
      </w:r>
      <w:r>
        <w:rPr>
          <w:rFonts w:asciiTheme="minorHAnsi" w:eastAsiaTheme="minorEastAsia" w:hAnsiTheme="minorHAnsi" w:cstheme="minorBidi"/>
          <w:sz w:val="22"/>
          <w:szCs w:val="22"/>
          <w:lang w:eastAsia="en-AU"/>
        </w:rPr>
        <w:tab/>
      </w:r>
      <w:r>
        <w:t>Objectives of government action</w:t>
      </w:r>
      <w:r>
        <w:tab/>
      </w:r>
      <w:r>
        <w:fldChar w:fldCharType="begin"/>
      </w:r>
      <w:r>
        <w:instrText xml:space="preserve"> PAGEREF _Toc9375366 \h </w:instrText>
      </w:r>
      <w:r>
        <w:fldChar w:fldCharType="separate"/>
      </w:r>
      <w:r>
        <w:t>7</w:t>
      </w:r>
      <w:r>
        <w:fldChar w:fldCharType="end"/>
      </w:r>
    </w:p>
    <w:p w14:paraId="483D7DAC" w14:textId="77777777" w:rsidR="00022915" w:rsidRDefault="00022915" w:rsidP="00022915">
      <w:pPr>
        <w:pStyle w:val="TOC1"/>
        <w:rPr>
          <w:rFonts w:asciiTheme="minorHAnsi" w:eastAsiaTheme="minorEastAsia" w:hAnsiTheme="minorHAnsi" w:cstheme="minorBidi"/>
          <w:sz w:val="22"/>
          <w:szCs w:val="22"/>
          <w:lang w:eastAsia="en-AU"/>
        </w:rPr>
      </w:pPr>
      <w:r>
        <w:t>3</w:t>
      </w:r>
      <w:r>
        <w:rPr>
          <w:rFonts w:asciiTheme="minorHAnsi" w:eastAsiaTheme="minorEastAsia" w:hAnsiTheme="minorHAnsi" w:cstheme="minorBidi"/>
          <w:sz w:val="22"/>
          <w:szCs w:val="22"/>
          <w:lang w:eastAsia="en-AU"/>
        </w:rPr>
        <w:tab/>
      </w:r>
      <w:r>
        <w:t>Options to address the problem</w:t>
      </w:r>
      <w:r>
        <w:tab/>
      </w:r>
      <w:r>
        <w:fldChar w:fldCharType="begin"/>
      </w:r>
      <w:r>
        <w:instrText xml:space="preserve"> PAGEREF _Toc9375367 \h </w:instrText>
      </w:r>
      <w:r>
        <w:fldChar w:fldCharType="separate"/>
      </w:r>
      <w:r>
        <w:t>10</w:t>
      </w:r>
      <w:r>
        <w:fldChar w:fldCharType="end"/>
      </w:r>
    </w:p>
    <w:p w14:paraId="7A0B0401" w14:textId="77777777" w:rsidR="00022915" w:rsidRDefault="00022915" w:rsidP="00022915">
      <w:pPr>
        <w:pStyle w:val="TOC2"/>
        <w:tabs>
          <w:tab w:val="left" w:pos="851"/>
        </w:tabs>
        <w:rPr>
          <w:rFonts w:asciiTheme="minorHAnsi" w:eastAsiaTheme="minorEastAsia" w:hAnsiTheme="minorHAnsi" w:cstheme="minorBidi"/>
          <w:sz w:val="22"/>
          <w:szCs w:val="22"/>
          <w:lang w:eastAsia="en-AU"/>
        </w:rPr>
      </w:pPr>
      <w:r>
        <w:t>3.1</w:t>
      </w:r>
      <w:r>
        <w:rPr>
          <w:rFonts w:asciiTheme="minorHAnsi" w:eastAsiaTheme="minorEastAsia" w:hAnsiTheme="minorHAnsi" w:cstheme="minorBidi"/>
          <w:sz w:val="22"/>
          <w:szCs w:val="22"/>
          <w:lang w:eastAsia="en-AU"/>
        </w:rPr>
        <w:tab/>
      </w:r>
      <w:r>
        <w:t>Option 1: No Western Australian CDS</w:t>
      </w:r>
      <w:r>
        <w:tab/>
      </w:r>
      <w:r>
        <w:fldChar w:fldCharType="begin"/>
      </w:r>
      <w:r>
        <w:instrText xml:space="preserve"> PAGEREF _Toc9375368 \h </w:instrText>
      </w:r>
      <w:r>
        <w:fldChar w:fldCharType="separate"/>
      </w:r>
      <w:r>
        <w:t>10</w:t>
      </w:r>
      <w:r>
        <w:fldChar w:fldCharType="end"/>
      </w:r>
    </w:p>
    <w:p w14:paraId="13A58703" w14:textId="77777777" w:rsidR="00022915" w:rsidRDefault="00022915" w:rsidP="00022915">
      <w:pPr>
        <w:pStyle w:val="TOC2"/>
        <w:tabs>
          <w:tab w:val="left" w:pos="851"/>
        </w:tabs>
        <w:rPr>
          <w:rFonts w:asciiTheme="minorHAnsi" w:eastAsiaTheme="minorEastAsia" w:hAnsiTheme="minorHAnsi" w:cstheme="minorBidi"/>
          <w:sz w:val="22"/>
          <w:szCs w:val="22"/>
          <w:lang w:eastAsia="en-AU"/>
        </w:rPr>
      </w:pPr>
      <w:r>
        <w:t>3.2</w:t>
      </w:r>
      <w:r>
        <w:rPr>
          <w:rFonts w:asciiTheme="minorHAnsi" w:eastAsiaTheme="minorEastAsia" w:hAnsiTheme="minorHAnsi" w:cstheme="minorBidi"/>
          <w:sz w:val="22"/>
          <w:szCs w:val="22"/>
          <w:lang w:eastAsia="en-AU"/>
        </w:rPr>
        <w:tab/>
      </w:r>
      <w:r>
        <w:t>Option 2: Development of the Western Australian CDS</w:t>
      </w:r>
      <w:r>
        <w:tab/>
      </w:r>
      <w:r>
        <w:fldChar w:fldCharType="begin"/>
      </w:r>
      <w:r>
        <w:instrText xml:space="preserve"> PAGEREF _Toc9375369 \h </w:instrText>
      </w:r>
      <w:r>
        <w:fldChar w:fldCharType="separate"/>
      </w:r>
      <w:r>
        <w:t>11</w:t>
      </w:r>
      <w:r>
        <w:fldChar w:fldCharType="end"/>
      </w:r>
    </w:p>
    <w:p w14:paraId="50394040" w14:textId="77777777" w:rsidR="00022915" w:rsidRDefault="00022915" w:rsidP="00022915">
      <w:pPr>
        <w:pStyle w:val="TOC2"/>
        <w:tabs>
          <w:tab w:val="left" w:pos="851"/>
        </w:tabs>
        <w:rPr>
          <w:rFonts w:asciiTheme="minorHAnsi" w:eastAsiaTheme="minorEastAsia" w:hAnsiTheme="minorHAnsi" w:cstheme="minorBidi"/>
          <w:sz w:val="22"/>
          <w:szCs w:val="22"/>
          <w:lang w:eastAsia="en-AU"/>
        </w:rPr>
      </w:pPr>
      <w:r>
        <w:t>3.3</w:t>
      </w:r>
      <w:r>
        <w:rPr>
          <w:rFonts w:asciiTheme="minorHAnsi" w:eastAsiaTheme="minorEastAsia" w:hAnsiTheme="minorHAnsi" w:cstheme="minorBidi"/>
          <w:sz w:val="22"/>
          <w:szCs w:val="22"/>
          <w:lang w:eastAsia="en-AU"/>
        </w:rPr>
        <w:tab/>
      </w:r>
      <w:r>
        <w:t>Other approaches considered</w:t>
      </w:r>
      <w:r>
        <w:tab/>
      </w:r>
      <w:r>
        <w:fldChar w:fldCharType="begin"/>
      </w:r>
      <w:r>
        <w:instrText xml:space="preserve"> PAGEREF _Toc9375370 \h </w:instrText>
      </w:r>
      <w:r>
        <w:fldChar w:fldCharType="separate"/>
      </w:r>
      <w:r>
        <w:t>15</w:t>
      </w:r>
      <w:r>
        <w:fldChar w:fldCharType="end"/>
      </w:r>
    </w:p>
    <w:p w14:paraId="3F62C000" w14:textId="77777777" w:rsidR="00022915" w:rsidRDefault="00022915" w:rsidP="00022915">
      <w:pPr>
        <w:pStyle w:val="TOC1"/>
        <w:rPr>
          <w:rFonts w:asciiTheme="minorHAnsi" w:eastAsiaTheme="minorEastAsia" w:hAnsiTheme="minorHAnsi" w:cstheme="minorBidi"/>
          <w:sz w:val="22"/>
          <w:szCs w:val="22"/>
          <w:lang w:eastAsia="en-AU"/>
        </w:rPr>
      </w:pPr>
      <w:r>
        <w:t>4</w:t>
      </w:r>
      <w:r>
        <w:rPr>
          <w:rFonts w:asciiTheme="minorHAnsi" w:eastAsiaTheme="minorEastAsia" w:hAnsiTheme="minorHAnsi" w:cstheme="minorBidi"/>
          <w:sz w:val="22"/>
          <w:szCs w:val="22"/>
          <w:lang w:eastAsia="en-AU"/>
        </w:rPr>
        <w:tab/>
      </w:r>
      <w:r>
        <w:t>Impact analysis</w:t>
      </w:r>
      <w:r>
        <w:tab/>
      </w:r>
      <w:r>
        <w:fldChar w:fldCharType="begin"/>
      </w:r>
      <w:r>
        <w:instrText xml:space="preserve"> PAGEREF _Toc9375371 \h </w:instrText>
      </w:r>
      <w:r>
        <w:fldChar w:fldCharType="separate"/>
      </w:r>
      <w:r>
        <w:t>18</w:t>
      </w:r>
      <w:r>
        <w:fldChar w:fldCharType="end"/>
      </w:r>
    </w:p>
    <w:p w14:paraId="4A6C974B" w14:textId="77777777" w:rsidR="00022915" w:rsidRDefault="00022915" w:rsidP="00022915">
      <w:pPr>
        <w:pStyle w:val="TOC2"/>
        <w:tabs>
          <w:tab w:val="left" w:pos="851"/>
        </w:tabs>
        <w:rPr>
          <w:rFonts w:asciiTheme="minorHAnsi" w:eastAsiaTheme="minorEastAsia" w:hAnsiTheme="minorHAnsi" w:cstheme="minorBidi"/>
          <w:sz w:val="22"/>
          <w:szCs w:val="22"/>
          <w:lang w:eastAsia="en-AU"/>
        </w:rPr>
      </w:pPr>
      <w:r>
        <w:t>4.1</w:t>
      </w:r>
      <w:r>
        <w:rPr>
          <w:rFonts w:asciiTheme="minorHAnsi" w:eastAsiaTheme="minorEastAsia" w:hAnsiTheme="minorHAnsi" w:cstheme="minorBidi"/>
          <w:sz w:val="22"/>
          <w:szCs w:val="22"/>
          <w:lang w:eastAsia="en-AU"/>
        </w:rPr>
        <w:tab/>
      </w:r>
      <w:r>
        <w:t>Cost-benefit analysis</w:t>
      </w:r>
      <w:r>
        <w:tab/>
      </w:r>
      <w:r>
        <w:fldChar w:fldCharType="begin"/>
      </w:r>
      <w:r>
        <w:instrText xml:space="preserve"> PAGEREF _Toc9375372 \h </w:instrText>
      </w:r>
      <w:r>
        <w:fldChar w:fldCharType="separate"/>
      </w:r>
      <w:r>
        <w:t>18</w:t>
      </w:r>
      <w:r>
        <w:fldChar w:fldCharType="end"/>
      </w:r>
    </w:p>
    <w:p w14:paraId="42F4E32D" w14:textId="77777777" w:rsidR="00022915" w:rsidRDefault="00022915" w:rsidP="00022915">
      <w:pPr>
        <w:pStyle w:val="TOC2"/>
        <w:tabs>
          <w:tab w:val="left" w:pos="851"/>
        </w:tabs>
        <w:rPr>
          <w:rFonts w:asciiTheme="minorHAnsi" w:eastAsiaTheme="minorEastAsia" w:hAnsiTheme="minorHAnsi" w:cstheme="minorBidi"/>
          <w:sz w:val="22"/>
          <w:szCs w:val="22"/>
          <w:lang w:eastAsia="en-AU"/>
        </w:rPr>
      </w:pPr>
      <w:r>
        <w:t>4.2</w:t>
      </w:r>
      <w:r>
        <w:rPr>
          <w:rFonts w:asciiTheme="minorHAnsi" w:eastAsiaTheme="minorEastAsia" w:hAnsiTheme="minorHAnsi" w:cstheme="minorBidi"/>
          <w:sz w:val="22"/>
          <w:szCs w:val="22"/>
          <w:lang w:eastAsia="en-AU"/>
        </w:rPr>
        <w:tab/>
      </w:r>
      <w:r>
        <w:t>Limitations</w:t>
      </w:r>
      <w:r>
        <w:tab/>
      </w:r>
      <w:r>
        <w:fldChar w:fldCharType="begin"/>
      </w:r>
      <w:r>
        <w:instrText xml:space="preserve"> PAGEREF _Toc9375373 \h </w:instrText>
      </w:r>
      <w:r>
        <w:fldChar w:fldCharType="separate"/>
      </w:r>
      <w:r>
        <w:t>21</w:t>
      </w:r>
      <w:r>
        <w:fldChar w:fldCharType="end"/>
      </w:r>
    </w:p>
    <w:p w14:paraId="47BC0166" w14:textId="77777777" w:rsidR="00022915" w:rsidRDefault="00022915" w:rsidP="00022915">
      <w:pPr>
        <w:pStyle w:val="TOC2"/>
        <w:tabs>
          <w:tab w:val="left" w:pos="851"/>
        </w:tabs>
        <w:rPr>
          <w:rFonts w:asciiTheme="minorHAnsi" w:eastAsiaTheme="minorEastAsia" w:hAnsiTheme="minorHAnsi" w:cstheme="minorBidi"/>
          <w:sz w:val="22"/>
          <w:szCs w:val="22"/>
          <w:lang w:eastAsia="en-AU"/>
        </w:rPr>
      </w:pPr>
      <w:r>
        <w:t>4.3</w:t>
      </w:r>
      <w:r>
        <w:rPr>
          <w:rFonts w:asciiTheme="minorHAnsi" w:eastAsiaTheme="minorEastAsia" w:hAnsiTheme="minorHAnsi" w:cstheme="minorBidi"/>
          <w:sz w:val="22"/>
          <w:szCs w:val="22"/>
          <w:lang w:eastAsia="en-AU"/>
        </w:rPr>
        <w:tab/>
      </w:r>
      <w:r>
        <w:t>Sensitivity tests</w:t>
      </w:r>
      <w:r>
        <w:tab/>
      </w:r>
      <w:r>
        <w:fldChar w:fldCharType="begin"/>
      </w:r>
      <w:r>
        <w:instrText xml:space="preserve"> PAGEREF _Toc9375374 \h </w:instrText>
      </w:r>
      <w:r>
        <w:fldChar w:fldCharType="separate"/>
      </w:r>
      <w:r>
        <w:t>22</w:t>
      </w:r>
      <w:r>
        <w:fldChar w:fldCharType="end"/>
      </w:r>
    </w:p>
    <w:p w14:paraId="128E8DE9" w14:textId="77777777" w:rsidR="00022915" w:rsidRDefault="00022915" w:rsidP="00022915">
      <w:pPr>
        <w:pStyle w:val="TOC2"/>
        <w:tabs>
          <w:tab w:val="left" w:pos="851"/>
        </w:tabs>
        <w:rPr>
          <w:rFonts w:asciiTheme="minorHAnsi" w:eastAsiaTheme="minorEastAsia" w:hAnsiTheme="minorHAnsi" w:cstheme="minorBidi"/>
          <w:sz w:val="22"/>
          <w:szCs w:val="22"/>
          <w:lang w:eastAsia="en-AU"/>
        </w:rPr>
      </w:pPr>
      <w:r>
        <w:t>4.4</w:t>
      </w:r>
      <w:r>
        <w:rPr>
          <w:rFonts w:asciiTheme="minorHAnsi" w:eastAsiaTheme="minorEastAsia" w:hAnsiTheme="minorHAnsi" w:cstheme="minorBidi"/>
          <w:sz w:val="22"/>
          <w:szCs w:val="22"/>
          <w:lang w:eastAsia="en-AU"/>
        </w:rPr>
        <w:tab/>
      </w:r>
      <w:r>
        <w:t>Litter volume impacts</w:t>
      </w:r>
      <w:r>
        <w:tab/>
      </w:r>
      <w:r>
        <w:fldChar w:fldCharType="begin"/>
      </w:r>
      <w:r>
        <w:instrText xml:space="preserve"> PAGEREF _Toc9375375 \h </w:instrText>
      </w:r>
      <w:r>
        <w:fldChar w:fldCharType="separate"/>
      </w:r>
      <w:r>
        <w:t>28</w:t>
      </w:r>
      <w:r>
        <w:fldChar w:fldCharType="end"/>
      </w:r>
    </w:p>
    <w:p w14:paraId="01E6CDAF" w14:textId="77777777" w:rsidR="00022915" w:rsidRDefault="00022915" w:rsidP="00022915">
      <w:pPr>
        <w:pStyle w:val="TOC2"/>
        <w:tabs>
          <w:tab w:val="left" w:pos="851"/>
        </w:tabs>
        <w:rPr>
          <w:rFonts w:asciiTheme="minorHAnsi" w:eastAsiaTheme="minorEastAsia" w:hAnsiTheme="minorHAnsi" w:cstheme="minorBidi"/>
          <w:sz w:val="22"/>
          <w:szCs w:val="22"/>
          <w:lang w:eastAsia="en-AU"/>
        </w:rPr>
      </w:pPr>
      <w:r>
        <w:t>4.5</w:t>
      </w:r>
      <w:r>
        <w:rPr>
          <w:rFonts w:asciiTheme="minorHAnsi" w:eastAsiaTheme="minorEastAsia" w:hAnsiTheme="minorHAnsi" w:cstheme="minorBidi"/>
          <w:sz w:val="22"/>
          <w:szCs w:val="22"/>
          <w:lang w:eastAsia="en-AU"/>
        </w:rPr>
        <w:tab/>
      </w:r>
      <w:r>
        <w:t>Distributional impacts and regulatory burden measurement</w:t>
      </w:r>
      <w:r>
        <w:tab/>
      </w:r>
      <w:r>
        <w:fldChar w:fldCharType="begin"/>
      </w:r>
      <w:r>
        <w:instrText xml:space="preserve"> PAGEREF _Toc9375376 \h </w:instrText>
      </w:r>
      <w:r>
        <w:fldChar w:fldCharType="separate"/>
      </w:r>
      <w:r>
        <w:t>30</w:t>
      </w:r>
      <w:r>
        <w:fldChar w:fldCharType="end"/>
      </w:r>
    </w:p>
    <w:p w14:paraId="0E6D623B" w14:textId="77777777" w:rsidR="00022915" w:rsidRDefault="00022915" w:rsidP="00022915">
      <w:pPr>
        <w:pStyle w:val="TOC2"/>
        <w:tabs>
          <w:tab w:val="left" w:pos="851"/>
        </w:tabs>
        <w:rPr>
          <w:rFonts w:asciiTheme="minorHAnsi" w:eastAsiaTheme="minorEastAsia" w:hAnsiTheme="minorHAnsi" w:cstheme="minorBidi"/>
          <w:sz w:val="22"/>
          <w:szCs w:val="22"/>
          <w:lang w:eastAsia="en-AU"/>
        </w:rPr>
      </w:pPr>
      <w:r>
        <w:t>4.6</w:t>
      </w:r>
      <w:r>
        <w:rPr>
          <w:rFonts w:asciiTheme="minorHAnsi" w:eastAsiaTheme="minorEastAsia" w:hAnsiTheme="minorHAnsi" w:cstheme="minorBidi"/>
          <w:sz w:val="22"/>
          <w:szCs w:val="22"/>
          <w:lang w:eastAsia="en-AU"/>
        </w:rPr>
        <w:tab/>
      </w:r>
      <w:r>
        <w:t>Qualitative effects outside Western Australia</w:t>
      </w:r>
      <w:r>
        <w:tab/>
      </w:r>
      <w:r>
        <w:fldChar w:fldCharType="begin"/>
      </w:r>
      <w:r>
        <w:instrText xml:space="preserve"> PAGEREF _Toc9375377 \h </w:instrText>
      </w:r>
      <w:r>
        <w:fldChar w:fldCharType="separate"/>
      </w:r>
      <w:r>
        <w:t>36</w:t>
      </w:r>
      <w:r>
        <w:fldChar w:fldCharType="end"/>
      </w:r>
    </w:p>
    <w:p w14:paraId="155E38FF" w14:textId="77777777" w:rsidR="00022915" w:rsidRDefault="00022915" w:rsidP="00022915">
      <w:pPr>
        <w:pStyle w:val="TOC2"/>
        <w:tabs>
          <w:tab w:val="left" w:pos="851"/>
        </w:tabs>
        <w:rPr>
          <w:rFonts w:asciiTheme="minorHAnsi" w:eastAsiaTheme="minorEastAsia" w:hAnsiTheme="minorHAnsi" w:cstheme="minorBidi"/>
          <w:sz w:val="22"/>
          <w:szCs w:val="22"/>
          <w:lang w:eastAsia="en-AU"/>
        </w:rPr>
      </w:pPr>
      <w:r>
        <w:t>4.7</w:t>
      </w:r>
      <w:r>
        <w:rPr>
          <w:rFonts w:asciiTheme="minorHAnsi" w:eastAsiaTheme="minorEastAsia" w:hAnsiTheme="minorHAnsi" w:cstheme="minorBidi"/>
          <w:sz w:val="22"/>
          <w:szCs w:val="22"/>
          <w:lang w:eastAsia="en-AU"/>
        </w:rPr>
        <w:tab/>
      </w:r>
      <w:r>
        <w:t>Competition analysis</w:t>
      </w:r>
      <w:r>
        <w:tab/>
      </w:r>
      <w:r>
        <w:fldChar w:fldCharType="begin"/>
      </w:r>
      <w:r>
        <w:instrText xml:space="preserve"> PAGEREF _Toc9375378 \h </w:instrText>
      </w:r>
      <w:r>
        <w:fldChar w:fldCharType="separate"/>
      </w:r>
      <w:r>
        <w:t>38</w:t>
      </w:r>
      <w:r>
        <w:fldChar w:fldCharType="end"/>
      </w:r>
    </w:p>
    <w:p w14:paraId="5ABD44A9" w14:textId="77777777" w:rsidR="00022915" w:rsidRDefault="00022915" w:rsidP="00022915">
      <w:pPr>
        <w:pStyle w:val="TOC1"/>
        <w:rPr>
          <w:rFonts w:asciiTheme="minorHAnsi" w:eastAsiaTheme="minorEastAsia" w:hAnsiTheme="minorHAnsi" w:cstheme="minorBidi"/>
          <w:sz w:val="22"/>
          <w:szCs w:val="22"/>
          <w:lang w:eastAsia="en-AU"/>
        </w:rPr>
      </w:pPr>
      <w:r>
        <w:t>5</w:t>
      </w:r>
      <w:r>
        <w:rPr>
          <w:rFonts w:asciiTheme="minorHAnsi" w:eastAsiaTheme="minorEastAsia" w:hAnsiTheme="minorHAnsi" w:cstheme="minorBidi"/>
          <w:sz w:val="22"/>
          <w:szCs w:val="22"/>
          <w:lang w:eastAsia="en-AU"/>
        </w:rPr>
        <w:tab/>
      </w:r>
      <w:r>
        <w:t>Consultation undertaken</w:t>
      </w:r>
      <w:r>
        <w:tab/>
      </w:r>
      <w:r>
        <w:fldChar w:fldCharType="begin"/>
      </w:r>
      <w:r>
        <w:instrText xml:space="preserve"> PAGEREF _Toc9375379 \h </w:instrText>
      </w:r>
      <w:r>
        <w:fldChar w:fldCharType="separate"/>
      </w:r>
      <w:r>
        <w:t>40</w:t>
      </w:r>
      <w:r>
        <w:fldChar w:fldCharType="end"/>
      </w:r>
    </w:p>
    <w:p w14:paraId="29FFDFD0" w14:textId="77777777" w:rsidR="00022915" w:rsidRDefault="00022915" w:rsidP="00022915">
      <w:pPr>
        <w:pStyle w:val="TOC2"/>
        <w:tabs>
          <w:tab w:val="left" w:pos="851"/>
        </w:tabs>
        <w:rPr>
          <w:rFonts w:asciiTheme="minorHAnsi" w:eastAsiaTheme="minorEastAsia" w:hAnsiTheme="minorHAnsi" w:cstheme="minorBidi"/>
          <w:sz w:val="22"/>
          <w:szCs w:val="22"/>
          <w:lang w:eastAsia="en-AU"/>
        </w:rPr>
      </w:pPr>
      <w:r>
        <w:t>5.1</w:t>
      </w:r>
      <w:r>
        <w:rPr>
          <w:rFonts w:asciiTheme="minorHAnsi" w:eastAsiaTheme="minorEastAsia" w:hAnsiTheme="minorHAnsi" w:cstheme="minorBidi"/>
          <w:sz w:val="22"/>
          <w:szCs w:val="22"/>
          <w:lang w:eastAsia="en-AU"/>
        </w:rPr>
        <w:tab/>
      </w:r>
      <w:r>
        <w:t>Consultation prior to the RIS</w:t>
      </w:r>
      <w:r>
        <w:tab/>
      </w:r>
      <w:r>
        <w:fldChar w:fldCharType="begin"/>
      </w:r>
      <w:r>
        <w:instrText xml:space="preserve"> PAGEREF _Toc9375380 \h </w:instrText>
      </w:r>
      <w:r>
        <w:fldChar w:fldCharType="separate"/>
      </w:r>
      <w:r>
        <w:t>40</w:t>
      </w:r>
      <w:r>
        <w:fldChar w:fldCharType="end"/>
      </w:r>
    </w:p>
    <w:p w14:paraId="5839EEED" w14:textId="77777777" w:rsidR="00022915" w:rsidRDefault="00022915" w:rsidP="00022915">
      <w:pPr>
        <w:pStyle w:val="TOC2"/>
        <w:tabs>
          <w:tab w:val="left" w:pos="851"/>
        </w:tabs>
        <w:rPr>
          <w:rFonts w:asciiTheme="minorHAnsi" w:eastAsiaTheme="minorEastAsia" w:hAnsiTheme="minorHAnsi" w:cstheme="minorBidi"/>
          <w:sz w:val="22"/>
          <w:szCs w:val="22"/>
          <w:lang w:eastAsia="en-AU"/>
        </w:rPr>
      </w:pPr>
      <w:r>
        <w:t>5.2</w:t>
      </w:r>
      <w:r>
        <w:rPr>
          <w:rFonts w:asciiTheme="minorHAnsi" w:eastAsiaTheme="minorEastAsia" w:hAnsiTheme="minorHAnsi" w:cstheme="minorBidi"/>
          <w:sz w:val="22"/>
          <w:szCs w:val="22"/>
          <w:lang w:eastAsia="en-AU"/>
        </w:rPr>
        <w:tab/>
      </w:r>
      <w:r>
        <w:t>Consultation undertaken in developing the RIS</w:t>
      </w:r>
      <w:r>
        <w:tab/>
      </w:r>
      <w:r>
        <w:fldChar w:fldCharType="begin"/>
      </w:r>
      <w:r>
        <w:instrText xml:space="preserve"> PAGEREF _Toc9375381 \h </w:instrText>
      </w:r>
      <w:r>
        <w:fldChar w:fldCharType="separate"/>
      </w:r>
      <w:r>
        <w:t>41</w:t>
      </w:r>
      <w:r>
        <w:fldChar w:fldCharType="end"/>
      </w:r>
    </w:p>
    <w:p w14:paraId="418FD510" w14:textId="77777777" w:rsidR="00022915" w:rsidRDefault="00022915" w:rsidP="00022915">
      <w:pPr>
        <w:pStyle w:val="TOC1"/>
        <w:rPr>
          <w:rFonts w:asciiTheme="minorHAnsi" w:eastAsiaTheme="minorEastAsia" w:hAnsiTheme="minorHAnsi" w:cstheme="minorBidi"/>
          <w:sz w:val="22"/>
          <w:szCs w:val="22"/>
          <w:lang w:eastAsia="en-AU"/>
        </w:rPr>
      </w:pPr>
      <w:r>
        <w:t>6</w:t>
      </w:r>
      <w:r>
        <w:rPr>
          <w:rFonts w:asciiTheme="minorHAnsi" w:eastAsiaTheme="minorEastAsia" w:hAnsiTheme="minorHAnsi" w:cstheme="minorBidi"/>
          <w:sz w:val="22"/>
          <w:szCs w:val="22"/>
          <w:lang w:eastAsia="en-AU"/>
        </w:rPr>
        <w:tab/>
      </w:r>
      <w:r>
        <w:t>Recommendation</w:t>
      </w:r>
      <w:r>
        <w:tab/>
      </w:r>
      <w:r>
        <w:fldChar w:fldCharType="begin"/>
      </w:r>
      <w:r>
        <w:instrText xml:space="preserve"> PAGEREF _Toc9375382 \h </w:instrText>
      </w:r>
      <w:r>
        <w:fldChar w:fldCharType="separate"/>
      </w:r>
      <w:r>
        <w:t>47</w:t>
      </w:r>
      <w:r>
        <w:fldChar w:fldCharType="end"/>
      </w:r>
    </w:p>
    <w:p w14:paraId="45ED8DEB" w14:textId="77777777" w:rsidR="00022915" w:rsidRDefault="00022915" w:rsidP="00022915">
      <w:pPr>
        <w:pStyle w:val="TOC1"/>
        <w:rPr>
          <w:rFonts w:asciiTheme="minorHAnsi" w:eastAsiaTheme="minorEastAsia" w:hAnsiTheme="minorHAnsi" w:cstheme="minorBidi"/>
          <w:sz w:val="22"/>
          <w:szCs w:val="22"/>
          <w:lang w:eastAsia="en-AU"/>
        </w:rPr>
      </w:pPr>
      <w:r>
        <w:t>7</w:t>
      </w:r>
      <w:r>
        <w:rPr>
          <w:rFonts w:asciiTheme="minorHAnsi" w:eastAsiaTheme="minorEastAsia" w:hAnsiTheme="minorHAnsi" w:cstheme="minorBidi"/>
          <w:sz w:val="22"/>
          <w:szCs w:val="22"/>
          <w:lang w:eastAsia="en-AU"/>
        </w:rPr>
        <w:tab/>
      </w:r>
      <w:r>
        <w:t>Implementation and review</w:t>
      </w:r>
      <w:r>
        <w:tab/>
      </w:r>
      <w:r>
        <w:fldChar w:fldCharType="begin"/>
      </w:r>
      <w:r>
        <w:instrText xml:space="preserve"> PAGEREF _Toc9375383 \h </w:instrText>
      </w:r>
      <w:r>
        <w:fldChar w:fldCharType="separate"/>
      </w:r>
      <w:r>
        <w:t>48</w:t>
      </w:r>
      <w:r>
        <w:fldChar w:fldCharType="end"/>
      </w:r>
    </w:p>
    <w:p w14:paraId="456A58AC" w14:textId="77777777" w:rsidR="00022915" w:rsidRDefault="00022915" w:rsidP="00022915">
      <w:pPr>
        <w:pStyle w:val="TOC2"/>
        <w:tabs>
          <w:tab w:val="left" w:pos="851"/>
        </w:tabs>
        <w:rPr>
          <w:rFonts w:asciiTheme="minorHAnsi" w:eastAsiaTheme="minorEastAsia" w:hAnsiTheme="minorHAnsi" w:cstheme="minorBidi"/>
          <w:sz w:val="22"/>
          <w:szCs w:val="22"/>
          <w:lang w:eastAsia="en-AU"/>
        </w:rPr>
      </w:pPr>
      <w:r>
        <w:t>7.1</w:t>
      </w:r>
      <w:r>
        <w:rPr>
          <w:rFonts w:asciiTheme="minorHAnsi" w:eastAsiaTheme="minorEastAsia" w:hAnsiTheme="minorHAnsi" w:cstheme="minorBidi"/>
          <w:sz w:val="22"/>
          <w:szCs w:val="22"/>
          <w:lang w:eastAsia="en-AU"/>
        </w:rPr>
        <w:tab/>
      </w:r>
      <w:r>
        <w:t>Commencement</w:t>
      </w:r>
      <w:r>
        <w:tab/>
      </w:r>
      <w:r>
        <w:fldChar w:fldCharType="begin"/>
      </w:r>
      <w:r>
        <w:instrText xml:space="preserve"> PAGEREF _Toc9375384 \h </w:instrText>
      </w:r>
      <w:r>
        <w:fldChar w:fldCharType="separate"/>
      </w:r>
      <w:r>
        <w:t>48</w:t>
      </w:r>
      <w:r>
        <w:fldChar w:fldCharType="end"/>
      </w:r>
    </w:p>
    <w:p w14:paraId="1BD89255" w14:textId="77777777" w:rsidR="00022915" w:rsidRDefault="00022915" w:rsidP="00022915">
      <w:pPr>
        <w:pStyle w:val="TOC2"/>
        <w:tabs>
          <w:tab w:val="left" w:pos="851"/>
        </w:tabs>
        <w:rPr>
          <w:rFonts w:asciiTheme="minorHAnsi" w:eastAsiaTheme="minorEastAsia" w:hAnsiTheme="minorHAnsi" w:cstheme="minorBidi"/>
          <w:sz w:val="22"/>
          <w:szCs w:val="22"/>
          <w:lang w:eastAsia="en-AU"/>
        </w:rPr>
      </w:pPr>
      <w:r>
        <w:t>7.2</w:t>
      </w:r>
      <w:r>
        <w:rPr>
          <w:rFonts w:asciiTheme="minorHAnsi" w:eastAsiaTheme="minorEastAsia" w:hAnsiTheme="minorHAnsi" w:cstheme="minorBidi"/>
          <w:sz w:val="22"/>
          <w:szCs w:val="22"/>
          <w:lang w:eastAsia="en-AU"/>
        </w:rPr>
        <w:tab/>
      </w:r>
      <w:r>
        <w:t>Review</w:t>
      </w:r>
      <w:r>
        <w:tab/>
      </w:r>
      <w:r>
        <w:fldChar w:fldCharType="begin"/>
      </w:r>
      <w:r>
        <w:instrText xml:space="preserve"> PAGEREF _Toc9375385 \h </w:instrText>
      </w:r>
      <w:r>
        <w:fldChar w:fldCharType="separate"/>
      </w:r>
      <w:r>
        <w:t>48</w:t>
      </w:r>
      <w:r>
        <w:fldChar w:fldCharType="end"/>
      </w:r>
    </w:p>
    <w:p w14:paraId="5E72842B" w14:textId="77777777" w:rsidR="00022915" w:rsidRDefault="00022915" w:rsidP="00022915">
      <w:pPr>
        <w:pStyle w:val="TOC1"/>
        <w:rPr>
          <w:rFonts w:asciiTheme="minorHAnsi" w:eastAsiaTheme="minorEastAsia" w:hAnsiTheme="minorHAnsi" w:cstheme="minorBidi"/>
          <w:sz w:val="22"/>
          <w:szCs w:val="22"/>
          <w:lang w:eastAsia="en-AU"/>
        </w:rPr>
      </w:pPr>
      <w:r>
        <w:t>Shortened forms</w:t>
      </w:r>
      <w:r>
        <w:tab/>
      </w:r>
      <w:r>
        <w:fldChar w:fldCharType="begin"/>
      </w:r>
      <w:r>
        <w:instrText xml:space="preserve"> PAGEREF _Toc9375386 \h </w:instrText>
      </w:r>
      <w:r>
        <w:fldChar w:fldCharType="separate"/>
      </w:r>
      <w:r>
        <w:t>49</w:t>
      </w:r>
      <w:r>
        <w:fldChar w:fldCharType="end"/>
      </w:r>
    </w:p>
    <w:p w14:paraId="6A4555C9" w14:textId="77777777" w:rsidR="00022915" w:rsidRDefault="00022915" w:rsidP="00022915">
      <w:pPr>
        <w:pStyle w:val="TOC1"/>
        <w:rPr>
          <w:rFonts w:asciiTheme="minorHAnsi" w:eastAsiaTheme="minorEastAsia" w:hAnsiTheme="minorHAnsi" w:cstheme="minorBidi"/>
          <w:sz w:val="22"/>
          <w:szCs w:val="22"/>
          <w:lang w:eastAsia="en-AU"/>
        </w:rPr>
      </w:pPr>
      <w:r>
        <w:t>Glossary</w:t>
      </w:r>
      <w:r>
        <w:tab/>
      </w:r>
      <w:r>
        <w:fldChar w:fldCharType="begin"/>
      </w:r>
      <w:r>
        <w:instrText xml:space="preserve"> PAGEREF _Toc9375387 \h </w:instrText>
      </w:r>
      <w:r>
        <w:fldChar w:fldCharType="separate"/>
      </w:r>
      <w:r>
        <w:t>50</w:t>
      </w:r>
      <w:r>
        <w:fldChar w:fldCharType="end"/>
      </w:r>
    </w:p>
    <w:p w14:paraId="00F8FD01" w14:textId="77777777" w:rsidR="00022915" w:rsidRDefault="00022915" w:rsidP="00022915">
      <w:pPr>
        <w:pStyle w:val="TOC1"/>
        <w:rPr>
          <w:rFonts w:asciiTheme="minorHAnsi" w:eastAsiaTheme="minorEastAsia" w:hAnsiTheme="minorHAnsi" w:cstheme="minorBidi"/>
          <w:sz w:val="22"/>
          <w:szCs w:val="22"/>
          <w:lang w:eastAsia="en-AU"/>
        </w:rPr>
      </w:pPr>
      <w:r>
        <w:t>References</w:t>
      </w:r>
      <w:r>
        <w:tab/>
      </w:r>
      <w:r>
        <w:fldChar w:fldCharType="begin"/>
      </w:r>
      <w:r>
        <w:instrText xml:space="preserve"> PAGEREF _Toc9375388 \h </w:instrText>
      </w:r>
      <w:r>
        <w:fldChar w:fldCharType="separate"/>
      </w:r>
      <w:r>
        <w:t>51</w:t>
      </w:r>
      <w:r>
        <w:fldChar w:fldCharType="end"/>
      </w:r>
    </w:p>
    <w:p w14:paraId="6B0EC1F0" w14:textId="77777777" w:rsidR="00022915" w:rsidRDefault="00022915" w:rsidP="00022915">
      <w:pPr>
        <w:pStyle w:val="TOC1"/>
        <w:rPr>
          <w:rFonts w:asciiTheme="minorHAnsi" w:eastAsiaTheme="minorEastAsia" w:hAnsiTheme="minorHAnsi" w:cstheme="minorBidi"/>
          <w:sz w:val="22"/>
          <w:szCs w:val="22"/>
          <w:lang w:eastAsia="en-AU"/>
        </w:rPr>
      </w:pPr>
      <w:r>
        <w:t>Appendix A — Technical Annex</w:t>
      </w:r>
      <w:r>
        <w:tab/>
      </w:r>
      <w:r>
        <w:fldChar w:fldCharType="begin"/>
      </w:r>
      <w:r>
        <w:instrText xml:space="preserve"> PAGEREF _Toc9375389 \h </w:instrText>
      </w:r>
      <w:r>
        <w:fldChar w:fldCharType="separate"/>
      </w:r>
      <w:r>
        <w:t>54</w:t>
      </w:r>
      <w:r>
        <w:fldChar w:fldCharType="end"/>
      </w:r>
    </w:p>
    <w:p w14:paraId="30330555" w14:textId="77777777" w:rsidR="00022915" w:rsidRDefault="00022915" w:rsidP="00022915">
      <w:pPr>
        <w:pStyle w:val="TOC2"/>
        <w:rPr>
          <w:rFonts w:asciiTheme="minorHAnsi" w:eastAsiaTheme="minorEastAsia" w:hAnsiTheme="minorHAnsi" w:cstheme="minorBidi"/>
          <w:sz w:val="22"/>
          <w:szCs w:val="22"/>
          <w:lang w:eastAsia="en-AU"/>
        </w:rPr>
      </w:pPr>
      <w:r>
        <w:t>Data on the impact of container deposit schemes</w:t>
      </w:r>
      <w:r>
        <w:tab/>
      </w:r>
      <w:r>
        <w:fldChar w:fldCharType="begin"/>
      </w:r>
      <w:r>
        <w:instrText xml:space="preserve"> PAGEREF _Toc9375390 \h </w:instrText>
      </w:r>
      <w:r>
        <w:fldChar w:fldCharType="separate"/>
      </w:r>
      <w:r>
        <w:t>54</w:t>
      </w:r>
      <w:r>
        <w:fldChar w:fldCharType="end"/>
      </w:r>
    </w:p>
    <w:p w14:paraId="30605789" w14:textId="77777777" w:rsidR="00022915" w:rsidRDefault="00022915" w:rsidP="00022915">
      <w:pPr>
        <w:pStyle w:val="TOC2"/>
        <w:rPr>
          <w:rFonts w:asciiTheme="minorHAnsi" w:eastAsiaTheme="minorEastAsia" w:hAnsiTheme="minorHAnsi" w:cstheme="minorBidi"/>
          <w:sz w:val="22"/>
          <w:szCs w:val="22"/>
          <w:lang w:eastAsia="en-AU"/>
        </w:rPr>
      </w:pPr>
      <w:r>
        <w:t>Assumptions</w:t>
      </w:r>
      <w:r>
        <w:tab/>
      </w:r>
      <w:r>
        <w:fldChar w:fldCharType="begin"/>
      </w:r>
      <w:r>
        <w:instrText xml:space="preserve"> PAGEREF _Toc9375391 \h </w:instrText>
      </w:r>
      <w:r>
        <w:fldChar w:fldCharType="separate"/>
      </w:r>
      <w:r>
        <w:t>55</w:t>
      </w:r>
      <w:r>
        <w:fldChar w:fldCharType="end"/>
      </w:r>
    </w:p>
    <w:p w14:paraId="7B0AEB72" w14:textId="77777777" w:rsidR="00022915" w:rsidRDefault="00022915" w:rsidP="00022915">
      <w:pPr>
        <w:pStyle w:val="TOC2"/>
        <w:rPr>
          <w:rFonts w:asciiTheme="minorHAnsi" w:eastAsiaTheme="minorEastAsia" w:hAnsiTheme="minorHAnsi" w:cstheme="minorBidi"/>
          <w:sz w:val="22"/>
          <w:szCs w:val="22"/>
          <w:lang w:eastAsia="en-AU"/>
        </w:rPr>
      </w:pPr>
      <w:r>
        <w:t>Material flows analysis</w:t>
      </w:r>
      <w:r>
        <w:tab/>
      </w:r>
      <w:r>
        <w:fldChar w:fldCharType="begin"/>
      </w:r>
      <w:r>
        <w:instrText xml:space="preserve"> PAGEREF _Toc9375392 \h </w:instrText>
      </w:r>
      <w:r>
        <w:fldChar w:fldCharType="separate"/>
      </w:r>
      <w:r>
        <w:t>69</w:t>
      </w:r>
      <w:r>
        <w:fldChar w:fldCharType="end"/>
      </w:r>
    </w:p>
    <w:p w14:paraId="6CF77BF5" w14:textId="77777777" w:rsidR="00022915" w:rsidRDefault="00022915" w:rsidP="00022915">
      <w:pPr>
        <w:rPr>
          <w:noProof/>
        </w:rPr>
      </w:pPr>
      <w:r>
        <w:rPr>
          <w:noProof/>
        </w:rPr>
        <w:fldChar w:fldCharType="end"/>
      </w:r>
    </w:p>
    <w:p w14:paraId="6D5B5678" w14:textId="77777777" w:rsidR="00022915" w:rsidRDefault="00022915" w:rsidP="00022915">
      <w:pPr>
        <w:rPr>
          <w:noProof/>
        </w:rPr>
      </w:pPr>
      <w:r>
        <w:rPr>
          <w:noProof/>
        </w:rPr>
        <w:br w:type="page"/>
      </w:r>
    </w:p>
    <w:p w14:paraId="64112C28" w14:textId="77777777" w:rsidR="00022915" w:rsidRDefault="00022915" w:rsidP="00022915">
      <w:pPr>
        <w:pStyle w:val="Heading2notinContents"/>
      </w:pPr>
      <w:r>
        <w:t>Figures</w:t>
      </w:r>
      <w:bookmarkEnd w:id="12"/>
      <w:bookmarkEnd w:id="13"/>
      <w:bookmarkEnd w:id="14"/>
    </w:p>
    <w:p w14:paraId="01D7F066" w14:textId="77777777" w:rsidR="00022915" w:rsidRDefault="00022915" w:rsidP="00022915">
      <w:pPr>
        <w:pStyle w:val="TableofFigures"/>
        <w:rPr>
          <w:rFonts w:asciiTheme="minorHAnsi" w:eastAsiaTheme="minorEastAsia" w:hAnsiTheme="minorHAnsi" w:cstheme="minorBidi"/>
          <w:noProof/>
          <w:sz w:val="22"/>
          <w:szCs w:val="22"/>
          <w:lang w:eastAsia="en-AU"/>
        </w:rPr>
      </w:pPr>
      <w:r>
        <w:fldChar w:fldCharType="begin"/>
      </w:r>
      <w:r>
        <w:instrText xml:space="preserve"> TOC \c Figure</w:instrText>
      </w:r>
      <w:r>
        <w:fldChar w:fldCharType="separate"/>
      </w:r>
      <w:r>
        <w:rPr>
          <w:noProof/>
        </w:rPr>
        <w:t>Figure 1: Volume of litter in Western Australia, by category</w:t>
      </w:r>
      <w:r>
        <w:rPr>
          <w:noProof/>
        </w:rPr>
        <w:tab/>
      </w:r>
      <w:r>
        <w:rPr>
          <w:noProof/>
        </w:rPr>
        <w:fldChar w:fldCharType="begin"/>
      </w:r>
      <w:r>
        <w:rPr>
          <w:noProof/>
        </w:rPr>
        <w:instrText xml:space="preserve"> PAGEREF _Toc10031202 \h </w:instrText>
      </w:r>
      <w:r>
        <w:rPr>
          <w:noProof/>
        </w:rPr>
      </w:r>
      <w:r>
        <w:rPr>
          <w:noProof/>
        </w:rPr>
        <w:fldChar w:fldCharType="separate"/>
      </w:r>
      <w:r>
        <w:rPr>
          <w:noProof/>
        </w:rPr>
        <w:t>3</w:t>
      </w:r>
      <w:r>
        <w:rPr>
          <w:noProof/>
        </w:rPr>
        <w:fldChar w:fldCharType="end"/>
      </w:r>
    </w:p>
    <w:p w14:paraId="542E21D1"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Figure 2: Conceptual model of the Western Australian CDS administrative arrangements</w:t>
      </w:r>
      <w:r>
        <w:rPr>
          <w:noProof/>
        </w:rPr>
        <w:tab/>
      </w:r>
      <w:r>
        <w:rPr>
          <w:noProof/>
        </w:rPr>
        <w:fldChar w:fldCharType="begin"/>
      </w:r>
      <w:r>
        <w:rPr>
          <w:noProof/>
        </w:rPr>
        <w:instrText xml:space="preserve"> PAGEREF _Toc10031203 \h </w:instrText>
      </w:r>
      <w:r>
        <w:rPr>
          <w:noProof/>
        </w:rPr>
      </w:r>
      <w:r>
        <w:rPr>
          <w:noProof/>
        </w:rPr>
        <w:fldChar w:fldCharType="separate"/>
      </w:r>
      <w:r>
        <w:rPr>
          <w:noProof/>
        </w:rPr>
        <w:t>13</w:t>
      </w:r>
      <w:r>
        <w:rPr>
          <w:noProof/>
        </w:rPr>
        <w:fldChar w:fldCharType="end"/>
      </w:r>
    </w:p>
    <w:p w14:paraId="08D42194"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Figure 3: Summary of cost outcomes ($ million, present value)</w:t>
      </w:r>
      <w:r>
        <w:rPr>
          <w:noProof/>
        </w:rPr>
        <w:tab/>
      </w:r>
      <w:r>
        <w:rPr>
          <w:noProof/>
        </w:rPr>
        <w:fldChar w:fldCharType="begin"/>
      </w:r>
      <w:r>
        <w:rPr>
          <w:noProof/>
        </w:rPr>
        <w:instrText xml:space="preserve"> PAGEREF _Toc10031204 \h </w:instrText>
      </w:r>
      <w:r>
        <w:rPr>
          <w:noProof/>
        </w:rPr>
      </w:r>
      <w:r>
        <w:rPr>
          <w:noProof/>
        </w:rPr>
        <w:fldChar w:fldCharType="separate"/>
      </w:r>
      <w:r>
        <w:rPr>
          <w:noProof/>
        </w:rPr>
        <w:t>20</w:t>
      </w:r>
      <w:r>
        <w:rPr>
          <w:noProof/>
        </w:rPr>
        <w:fldChar w:fldCharType="end"/>
      </w:r>
    </w:p>
    <w:p w14:paraId="4D18DC4B"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Figure 4: Summary of benefit outcomes ($ million, present value)</w:t>
      </w:r>
      <w:r>
        <w:rPr>
          <w:noProof/>
        </w:rPr>
        <w:tab/>
      </w:r>
      <w:r>
        <w:rPr>
          <w:noProof/>
        </w:rPr>
        <w:fldChar w:fldCharType="begin"/>
      </w:r>
      <w:r>
        <w:rPr>
          <w:noProof/>
        </w:rPr>
        <w:instrText xml:space="preserve"> PAGEREF _Toc10031205 \h </w:instrText>
      </w:r>
      <w:r>
        <w:rPr>
          <w:noProof/>
        </w:rPr>
      </w:r>
      <w:r>
        <w:rPr>
          <w:noProof/>
        </w:rPr>
        <w:fldChar w:fldCharType="separate"/>
      </w:r>
      <w:r>
        <w:rPr>
          <w:noProof/>
        </w:rPr>
        <w:t>21</w:t>
      </w:r>
      <w:r>
        <w:rPr>
          <w:noProof/>
        </w:rPr>
        <w:fldChar w:fldCharType="end"/>
      </w:r>
    </w:p>
    <w:p w14:paraId="4DC8058F"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Figure 5: Beverage container litter, 2017 to 2038 (tonnes)</w:t>
      </w:r>
      <w:r>
        <w:rPr>
          <w:noProof/>
        </w:rPr>
        <w:tab/>
      </w:r>
      <w:r>
        <w:rPr>
          <w:noProof/>
        </w:rPr>
        <w:fldChar w:fldCharType="begin"/>
      </w:r>
      <w:r>
        <w:rPr>
          <w:noProof/>
        </w:rPr>
        <w:instrText xml:space="preserve"> PAGEREF _Toc10031206 \h </w:instrText>
      </w:r>
      <w:r>
        <w:rPr>
          <w:noProof/>
        </w:rPr>
      </w:r>
      <w:r>
        <w:rPr>
          <w:noProof/>
        </w:rPr>
        <w:fldChar w:fldCharType="separate"/>
      </w:r>
      <w:r>
        <w:rPr>
          <w:noProof/>
        </w:rPr>
        <w:t>31</w:t>
      </w:r>
      <w:r>
        <w:rPr>
          <w:noProof/>
        </w:rPr>
        <w:fldChar w:fldCharType="end"/>
      </w:r>
    </w:p>
    <w:p w14:paraId="0D8A1066"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Figure 6: Distributional analysis ($ million, net present value)</w:t>
      </w:r>
      <w:r>
        <w:rPr>
          <w:noProof/>
        </w:rPr>
        <w:tab/>
      </w:r>
      <w:r>
        <w:rPr>
          <w:noProof/>
        </w:rPr>
        <w:fldChar w:fldCharType="begin"/>
      </w:r>
      <w:r>
        <w:rPr>
          <w:noProof/>
        </w:rPr>
        <w:instrText xml:space="preserve"> PAGEREF _Toc10031207 \h </w:instrText>
      </w:r>
      <w:r>
        <w:rPr>
          <w:noProof/>
        </w:rPr>
      </w:r>
      <w:r>
        <w:rPr>
          <w:noProof/>
        </w:rPr>
        <w:fldChar w:fldCharType="separate"/>
      </w:r>
      <w:r>
        <w:rPr>
          <w:noProof/>
        </w:rPr>
        <w:t>34</w:t>
      </w:r>
      <w:r>
        <w:rPr>
          <w:noProof/>
        </w:rPr>
        <w:fldChar w:fldCharType="end"/>
      </w:r>
    </w:p>
    <w:p w14:paraId="04A3DD8B"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Figure 7: Litter images, United Kingdom study</w:t>
      </w:r>
      <w:r>
        <w:rPr>
          <w:noProof/>
        </w:rPr>
        <w:tab/>
      </w:r>
      <w:r>
        <w:rPr>
          <w:noProof/>
        </w:rPr>
        <w:fldChar w:fldCharType="begin"/>
      </w:r>
      <w:r>
        <w:rPr>
          <w:noProof/>
        </w:rPr>
        <w:instrText xml:space="preserve"> PAGEREF _Toc10031208 \h </w:instrText>
      </w:r>
      <w:r>
        <w:rPr>
          <w:noProof/>
        </w:rPr>
      </w:r>
      <w:r>
        <w:rPr>
          <w:noProof/>
        </w:rPr>
        <w:fldChar w:fldCharType="separate"/>
      </w:r>
      <w:r>
        <w:rPr>
          <w:noProof/>
        </w:rPr>
        <w:t>69</w:t>
      </w:r>
      <w:r>
        <w:rPr>
          <w:noProof/>
        </w:rPr>
        <w:fldChar w:fldCharType="end"/>
      </w:r>
    </w:p>
    <w:p w14:paraId="1D76D1B9"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Figure 8: Chain of ‘physical flows’ and associated costs and benefits</w:t>
      </w:r>
      <w:r>
        <w:rPr>
          <w:noProof/>
        </w:rPr>
        <w:tab/>
      </w:r>
      <w:r>
        <w:rPr>
          <w:noProof/>
        </w:rPr>
        <w:fldChar w:fldCharType="begin"/>
      </w:r>
      <w:r>
        <w:rPr>
          <w:noProof/>
        </w:rPr>
        <w:instrText xml:space="preserve"> PAGEREF _Toc10031209 \h </w:instrText>
      </w:r>
      <w:r>
        <w:rPr>
          <w:noProof/>
        </w:rPr>
      </w:r>
      <w:r>
        <w:rPr>
          <w:noProof/>
        </w:rPr>
        <w:fldChar w:fldCharType="separate"/>
      </w:r>
      <w:r>
        <w:rPr>
          <w:noProof/>
        </w:rPr>
        <w:t>71</w:t>
      </w:r>
      <w:r>
        <w:rPr>
          <w:noProof/>
        </w:rPr>
        <w:fldChar w:fldCharType="end"/>
      </w:r>
    </w:p>
    <w:p w14:paraId="725870D5" w14:textId="77777777" w:rsidR="00022915" w:rsidRDefault="00022915" w:rsidP="00022915">
      <w:pPr>
        <w:pStyle w:val="TableofFigures"/>
      </w:pPr>
      <w:r>
        <w:fldChar w:fldCharType="end"/>
      </w:r>
      <w:bookmarkStart w:id="15" w:name="_Toc142884492"/>
      <w:bookmarkStart w:id="16" w:name="_Toc142884721"/>
      <w:bookmarkStart w:id="17" w:name="_Toc142886822"/>
    </w:p>
    <w:p w14:paraId="45ED9849" w14:textId="77777777" w:rsidR="00022915" w:rsidRDefault="00022915" w:rsidP="00022915">
      <w:pPr>
        <w:pStyle w:val="Heading2notinContents"/>
      </w:pPr>
      <w:bookmarkStart w:id="18" w:name="_Toc142884493"/>
      <w:bookmarkStart w:id="19" w:name="_Toc142884722"/>
      <w:bookmarkStart w:id="20" w:name="_Toc142886823"/>
      <w:bookmarkEnd w:id="15"/>
      <w:bookmarkEnd w:id="16"/>
      <w:bookmarkEnd w:id="17"/>
      <w:r>
        <w:t>Tables</w:t>
      </w:r>
      <w:bookmarkEnd w:id="18"/>
      <w:bookmarkEnd w:id="19"/>
      <w:bookmarkEnd w:id="20"/>
    </w:p>
    <w:p w14:paraId="46F7FA91" w14:textId="77777777" w:rsidR="00022915" w:rsidRDefault="00022915" w:rsidP="00022915">
      <w:pPr>
        <w:pStyle w:val="TableofFigures"/>
        <w:rPr>
          <w:rFonts w:asciiTheme="minorHAnsi" w:eastAsiaTheme="minorEastAsia" w:hAnsiTheme="minorHAnsi" w:cstheme="minorBidi"/>
          <w:noProof/>
          <w:sz w:val="22"/>
          <w:szCs w:val="22"/>
          <w:lang w:eastAsia="en-AU"/>
        </w:rPr>
      </w:pPr>
      <w:r>
        <w:fldChar w:fldCharType="begin"/>
      </w:r>
      <w:r>
        <w:instrText xml:space="preserve"> TOC \c Table</w:instrText>
      </w:r>
      <w:r>
        <w:fldChar w:fldCharType="separate"/>
      </w:r>
      <w:r>
        <w:rPr>
          <w:noProof/>
        </w:rPr>
        <w:t>Table 1: Alignment of revised and amened objectives</w:t>
      </w:r>
      <w:r>
        <w:rPr>
          <w:noProof/>
        </w:rPr>
        <w:tab/>
      </w:r>
      <w:r>
        <w:rPr>
          <w:noProof/>
        </w:rPr>
        <w:fldChar w:fldCharType="begin"/>
      </w:r>
      <w:r>
        <w:rPr>
          <w:noProof/>
        </w:rPr>
        <w:instrText xml:space="preserve"> PAGEREF _Toc10031210 \h </w:instrText>
      </w:r>
      <w:r>
        <w:rPr>
          <w:noProof/>
        </w:rPr>
      </w:r>
      <w:r>
        <w:rPr>
          <w:noProof/>
        </w:rPr>
        <w:fldChar w:fldCharType="separate"/>
      </w:r>
      <w:r>
        <w:rPr>
          <w:noProof/>
        </w:rPr>
        <w:t>7</w:t>
      </w:r>
      <w:r>
        <w:rPr>
          <w:noProof/>
        </w:rPr>
        <w:fldChar w:fldCharType="end"/>
      </w:r>
    </w:p>
    <w:p w14:paraId="3254628B"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Table 2: Containers to be covered by the Western Australian CDS (2017 financial year)</w:t>
      </w:r>
      <w:r>
        <w:rPr>
          <w:noProof/>
        </w:rPr>
        <w:tab/>
      </w:r>
      <w:r>
        <w:rPr>
          <w:noProof/>
        </w:rPr>
        <w:fldChar w:fldCharType="begin"/>
      </w:r>
      <w:r>
        <w:rPr>
          <w:noProof/>
        </w:rPr>
        <w:instrText xml:space="preserve"> PAGEREF _Toc10031211 \h </w:instrText>
      </w:r>
      <w:r>
        <w:rPr>
          <w:noProof/>
        </w:rPr>
      </w:r>
      <w:r>
        <w:rPr>
          <w:noProof/>
        </w:rPr>
        <w:fldChar w:fldCharType="separate"/>
      </w:r>
      <w:r>
        <w:rPr>
          <w:noProof/>
        </w:rPr>
        <w:t>14</w:t>
      </w:r>
      <w:r>
        <w:rPr>
          <w:noProof/>
        </w:rPr>
        <w:fldChar w:fldCharType="end"/>
      </w:r>
    </w:p>
    <w:p w14:paraId="6A554E7A"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Table 3: Cost–benefit analysis results</w:t>
      </w:r>
      <w:r>
        <w:rPr>
          <w:noProof/>
        </w:rPr>
        <w:tab/>
      </w:r>
      <w:r>
        <w:rPr>
          <w:noProof/>
        </w:rPr>
        <w:fldChar w:fldCharType="begin"/>
      </w:r>
      <w:r>
        <w:rPr>
          <w:noProof/>
        </w:rPr>
        <w:instrText xml:space="preserve"> PAGEREF _Toc10031212 \h </w:instrText>
      </w:r>
      <w:r>
        <w:rPr>
          <w:noProof/>
        </w:rPr>
      </w:r>
      <w:r>
        <w:rPr>
          <w:noProof/>
        </w:rPr>
        <w:fldChar w:fldCharType="separate"/>
      </w:r>
      <w:r>
        <w:rPr>
          <w:noProof/>
        </w:rPr>
        <w:t>20</w:t>
      </w:r>
      <w:r>
        <w:rPr>
          <w:noProof/>
        </w:rPr>
        <w:fldChar w:fldCharType="end"/>
      </w:r>
    </w:p>
    <w:p w14:paraId="65B0924F"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Table 4: Discount rate sensitivity test</w:t>
      </w:r>
      <w:r>
        <w:rPr>
          <w:noProof/>
        </w:rPr>
        <w:tab/>
      </w:r>
      <w:r>
        <w:rPr>
          <w:noProof/>
        </w:rPr>
        <w:fldChar w:fldCharType="begin"/>
      </w:r>
      <w:r>
        <w:rPr>
          <w:noProof/>
        </w:rPr>
        <w:instrText xml:space="preserve"> PAGEREF _Toc10031213 \h </w:instrText>
      </w:r>
      <w:r>
        <w:rPr>
          <w:noProof/>
        </w:rPr>
      </w:r>
      <w:r>
        <w:rPr>
          <w:noProof/>
        </w:rPr>
        <w:fldChar w:fldCharType="separate"/>
      </w:r>
      <w:r>
        <w:rPr>
          <w:noProof/>
        </w:rPr>
        <w:t>24</w:t>
      </w:r>
      <w:r>
        <w:rPr>
          <w:noProof/>
        </w:rPr>
        <w:fldChar w:fldCharType="end"/>
      </w:r>
    </w:p>
    <w:p w14:paraId="41E9C16F"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Table 5: Analysis period sensitivity test</w:t>
      </w:r>
      <w:r>
        <w:rPr>
          <w:noProof/>
        </w:rPr>
        <w:tab/>
      </w:r>
      <w:r>
        <w:rPr>
          <w:noProof/>
        </w:rPr>
        <w:fldChar w:fldCharType="begin"/>
      </w:r>
      <w:r>
        <w:rPr>
          <w:noProof/>
        </w:rPr>
        <w:instrText xml:space="preserve"> PAGEREF _Toc10031214 \h </w:instrText>
      </w:r>
      <w:r>
        <w:rPr>
          <w:noProof/>
        </w:rPr>
      </w:r>
      <w:r>
        <w:rPr>
          <w:noProof/>
        </w:rPr>
        <w:fldChar w:fldCharType="separate"/>
      </w:r>
      <w:r>
        <w:rPr>
          <w:noProof/>
        </w:rPr>
        <w:t>24</w:t>
      </w:r>
      <w:r>
        <w:rPr>
          <w:noProof/>
        </w:rPr>
        <w:fldChar w:fldCharType="end"/>
      </w:r>
    </w:p>
    <w:p w14:paraId="3FAE85E8"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Table 6: Number of containers sensitivity test</w:t>
      </w:r>
      <w:r>
        <w:rPr>
          <w:noProof/>
        </w:rPr>
        <w:tab/>
      </w:r>
      <w:r>
        <w:rPr>
          <w:noProof/>
        </w:rPr>
        <w:fldChar w:fldCharType="begin"/>
      </w:r>
      <w:r>
        <w:rPr>
          <w:noProof/>
        </w:rPr>
        <w:instrText xml:space="preserve"> PAGEREF _Toc10031215 \h </w:instrText>
      </w:r>
      <w:r>
        <w:rPr>
          <w:noProof/>
        </w:rPr>
      </w:r>
      <w:r>
        <w:rPr>
          <w:noProof/>
        </w:rPr>
        <w:fldChar w:fldCharType="separate"/>
      </w:r>
      <w:r>
        <w:rPr>
          <w:noProof/>
        </w:rPr>
        <w:t>25</w:t>
      </w:r>
      <w:r>
        <w:rPr>
          <w:noProof/>
        </w:rPr>
        <w:fldChar w:fldCharType="end"/>
      </w:r>
    </w:p>
    <w:p w14:paraId="2553F32B"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Table 7: Consumption split (At home: Away from home) sensitivity test</w:t>
      </w:r>
      <w:r>
        <w:rPr>
          <w:noProof/>
        </w:rPr>
        <w:tab/>
      </w:r>
      <w:r>
        <w:rPr>
          <w:noProof/>
        </w:rPr>
        <w:fldChar w:fldCharType="begin"/>
      </w:r>
      <w:r>
        <w:rPr>
          <w:noProof/>
        </w:rPr>
        <w:instrText xml:space="preserve"> PAGEREF _Toc10031216 \h </w:instrText>
      </w:r>
      <w:r>
        <w:rPr>
          <w:noProof/>
        </w:rPr>
      </w:r>
      <w:r>
        <w:rPr>
          <w:noProof/>
        </w:rPr>
        <w:fldChar w:fldCharType="separate"/>
      </w:r>
      <w:r>
        <w:rPr>
          <w:noProof/>
        </w:rPr>
        <w:t>25</w:t>
      </w:r>
      <w:r>
        <w:rPr>
          <w:noProof/>
        </w:rPr>
        <w:fldChar w:fldCharType="end"/>
      </w:r>
    </w:p>
    <w:p w14:paraId="20A482F4"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Table 8: Kerbside diversion rate sensitivity test</w:t>
      </w:r>
      <w:r>
        <w:rPr>
          <w:noProof/>
        </w:rPr>
        <w:tab/>
      </w:r>
      <w:r>
        <w:rPr>
          <w:noProof/>
        </w:rPr>
        <w:fldChar w:fldCharType="begin"/>
      </w:r>
      <w:r>
        <w:rPr>
          <w:noProof/>
        </w:rPr>
        <w:instrText xml:space="preserve"> PAGEREF _Toc10031217 \h </w:instrText>
      </w:r>
      <w:r>
        <w:rPr>
          <w:noProof/>
        </w:rPr>
      </w:r>
      <w:r>
        <w:rPr>
          <w:noProof/>
        </w:rPr>
        <w:fldChar w:fldCharType="separate"/>
      </w:r>
      <w:r>
        <w:rPr>
          <w:noProof/>
        </w:rPr>
        <w:t>26</w:t>
      </w:r>
      <w:r>
        <w:rPr>
          <w:noProof/>
        </w:rPr>
        <w:fldChar w:fldCharType="end"/>
      </w:r>
    </w:p>
    <w:p w14:paraId="6240854F"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Table 9: Recyclate value</w:t>
      </w:r>
      <w:r>
        <w:rPr>
          <w:noProof/>
        </w:rPr>
        <w:tab/>
      </w:r>
      <w:r>
        <w:rPr>
          <w:noProof/>
        </w:rPr>
        <w:fldChar w:fldCharType="begin"/>
      </w:r>
      <w:r>
        <w:rPr>
          <w:noProof/>
        </w:rPr>
        <w:instrText xml:space="preserve"> PAGEREF _Toc10031218 \h </w:instrText>
      </w:r>
      <w:r>
        <w:rPr>
          <w:noProof/>
        </w:rPr>
      </w:r>
      <w:r>
        <w:rPr>
          <w:noProof/>
        </w:rPr>
        <w:fldChar w:fldCharType="separate"/>
      </w:r>
      <w:r>
        <w:rPr>
          <w:noProof/>
        </w:rPr>
        <w:t>26</w:t>
      </w:r>
      <w:r>
        <w:rPr>
          <w:noProof/>
        </w:rPr>
        <w:fldChar w:fldCharType="end"/>
      </w:r>
    </w:p>
    <w:p w14:paraId="60470A27"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Table 10: Recyclate value sensitivity test</w:t>
      </w:r>
      <w:r>
        <w:rPr>
          <w:noProof/>
        </w:rPr>
        <w:tab/>
      </w:r>
      <w:r>
        <w:rPr>
          <w:noProof/>
        </w:rPr>
        <w:fldChar w:fldCharType="begin"/>
      </w:r>
      <w:r>
        <w:rPr>
          <w:noProof/>
        </w:rPr>
        <w:instrText xml:space="preserve"> PAGEREF _Toc10031219 \h </w:instrText>
      </w:r>
      <w:r>
        <w:rPr>
          <w:noProof/>
        </w:rPr>
      </w:r>
      <w:r>
        <w:rPr>
          <w:noProof/>
        </w:rPr>
        <w:fldChar w:fldCharType="separate"/>
      </w:r>
      <w:r>
        <w:rPr>
          <w:noProof/>
        </w:rPr>
        <w:t>27</w:t>
      </w:r>
      <w:r>
        <w:rPr>
          <w:noProof/>
        </w:rPr>
        <w:fldChar w:fldCharType="end"/>
      </w:r>
    </w:p>
    <w:p w14:paraId="205D6DEF"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Table 11: Willingness to pay sensitivity test</w:t>
      </w:r>
      <w:r>
        <w:rPr>
          <w:noProof/>
        </w:rPr>
        <w:tab/>
      </w:r>
      <w:r>
        <w:rPr>
          <w:noProof/>
        </w:rPr>
        <w:fldChar w:fldCharType="begin"/>
      </w:r>
      <w:r>
        <w:rPr>
          <w:noProof/>
        </w:rPr>
        <w:instrText xml:space="preserve"> PAGEREF _Toc10031220 \h </w:instrText>
      </w:r>
      <w:r>
        <w:rPr>
          <w:noProof/>
        </w:rPr>
      </w:r>
      <w:r>
        <w:rPr>
          <w:noProof/>
        </w:rPr>
        <w:fldChar w:fldCharType="separate"/>
      </w:r>
      <w:r>
        <w:rPr>
          <w:noProof/>
        </w:rPr>
        <w:t>28</w:t>
      </w:r>
      <w:r>
        <w:rPr>
          <w:noProof/>
        </w:rPr>
        <w:fldChar w:fldCharType="end"/>
      </w:r>
    </w:p>
    <w:p w14:paraId="3B4F35A7"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Table 12: Propensity to litter sensitivity test</w:t>
      </w:r>
      <w:r>
        <w:rPr>
          <w:noProof/>
        </w:rPr>
        <w:tab/>
      </w:r>
      <w:r>
        <w:rPr>
          <w:noProof/>
        </w:rPr>
        <w:fldChar w:fldCharType="begin"/>
      </w:r>
      <w:r>
        <w:rPr>
          <w:noProof/>
        </w:rPr>
        <w:instrText xml:space="preserve"> PAGEREF _Toc10031221 \h </w:instrText>
      </w:r>
      <w:r>
        <w:rPr>
          <w:noProof/>
        </w:rPr>
      </w:r>
      <w:r>
        <w:rPr>
          <w:noProof/>
        </w:rPr>
        <w:fldChar w:fldCharType="separate"/>
      </w:r>
      <w:r>
        <w:rPr>
          <w:noProof/>
        </w:rPr>
        <w:t>29</w:t>
      </w:r>
      <w:r>
        <w:rPr>
          <w:noProof/>
        </w:rPr>
        <w:fldChar w:fldCharType="end"/>
      </w:r>
    </w:p>
    <w:p w14:paraId="68CA1A9D"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Table 13: Number of refund points</w:t>
      </w:r>
      <w:r>
        <w:rPr>
          <w:noProof/>
        </w:rPr>
        <w:tab/>
      </w:r>
      <w:r>
        <w:rPr>
          <w:noProof/>
        </w:rPr>
        <w:fldChar w:fldCharType="begin"/>
      </w:r>
      <w:r>
        <w:rPr>
          <w:noProof/>
        </w:rPr>
        <w:instrText xml:space="preserve"> PAGEREF _Toc10031222 \h </w:instrText>
      </w:r>
      <w:r>
        <w:rPr>
          <w:noProof/>
        </w:rPr>
      </w:r>
      <w:r>
        <w:rPr>
          <w:noProof/>
        </w:rPr>
        <w:fldChar w:fldCharType="separate"/>
      </w:r>
      <w:r>
        <w:rPr>
          <w:noProof/>
        </w:rPr>
        <w:t>29</w:t>
      </w:r>
      <w:r>
        <w:rPr>
          <w:noProof/>
        </w:rPr>
        <w:fldChar w:fldCharType="end"/>
      </w:r>
    </w:p>
    <w:p w14:paraId="2C6BD5CC"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Table 14: Impacts by stakeholder group</w:t>
      </w:r>
      <w:r>
        <w:rPr>
          <w:noProof/>
        </w:rPr>
        <w:tab/>
      </w:r>
      <w:r>
        <w:rPr>
          <w:noProof/>
        </w:rPr>
        <w:fldChar w:fldCharType="begin"/>
      </w:r>
      <w:r>
        <w:rPr>
          <w:noProof/>
        </w:rPr>
        <w:instrText xml:space="preserve"> PAGEREF _Toc10031223 \h </w:instrText>
      </w:r>
      <w:r>
        <w:rPr>
          <w:noProof/>
        </w:rPr>
      </w:r>
      <w:r>
        <w:rPr>
          <w:noProof/>
        </w:rPr>
        <w:fldChar w:fldCharType="separate"/>
      </w:r>
      <w:r>
        <w:rPr>
          <w:noProof/>
        </w:rPr>
        <w:t>32</w:t>
      </w:r>
      <w:r>
        <w:rPr>
          <w:noProof/>
        </w:rPr>
        <w:fldChar w:fldCharType="end"/>
      </w:r>
    </w:p>
    <w:p w14:paraId="3FF5C801"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Table 15: Concerns raised by respondents that were not supportive of the CDS</w:t>
      </w:r>
      <w:r>
        <w:rPr>
          <w:noProof/>
        </w:rPr>
        <w:tab/>
      </w:r>
      <w:r>
        <w:rPr>
          <w:noProof/>
        </w:rPr>
        <w:fldChar w:fldCharType="begin"/>
      </w:r>
      <w:r>
        <w:rPr>
          <w:noProof/>
        </w:rPr>
        <w:instrText xml:space="preserve"> PAGEREF _Toc10031224 \h </w:instrText>
      </w:r>
      <w:r>
        <w:rPr>
          <w:noProof/>
        </w:rPr>
      </w:r>
      <w:r>
        <w:rPr>
          <w:noProof/>
        </w:rPr>
        <w:fldChar w:fldCharType="separate"/>
      </w:r>
      <w:r>
        <w:rPr>
          <w:noProof/>
        </w:rPr>
        <w:t>42</w:t>
      </w:r>
      <w:r>
        <w:rPr>
          <w:noProof/>
        </w:rPr>
        <w:fldChar w:fldCharType="end"/>
      </w:r>
    </w:p>
    <w:p w14:paraId="5306A07C"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Table 16: Suggested changes made by respondents that were supportive</w:t>
      </w:r>
      <w:r>
        <w:rPr>
          <w:noProof/>
        </w:rPr>
        <w:tab/>
      </w:r>
      <w:r>
        <w:rPr>
          <w:noProof/>
        </w:rPr>
        <w:fldChar w:fldCharType="begin"/>
      </w:r>
      <w:r>
        <w:rPr>
          <w:noProof/>
        </w:rPr>
        <w:instrText xml:space="preserve"> PAGEREF _Toc10031225 \h </w:instrText>
      </w:r>
      <w:r>
        <w:rPr>
          <w:noProof/>
        </w:rPr>
      </w:r>
      <w:r>
        <w:rPr>
          <w:noProof/>
        </w:rPr>
        <w:fldChar w:fldCharType="separate"/>
      </w:r>
      <w:r>
        <w:rPr>
          <w:noProof/>
        </w:rPr>
        <w:t>45</w:t>
      </w:r>
      <w:r>
        <w:rPr>
          <w:noProof/>
        </w:rPr>
        <w:fldChar w:fldCharType="end"/>
      </w:r>
    </w:p>
    <w:p w14:paraId="404791E2"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Table 17: Description of cost assumptions</w:t>
      </w:r>
      <w:r>
        <w:rPr>
          <w:noProof/>
        </w:rPr>
        <w:tab/>
      </w:r>
      <w:r>
        <w:rPr>
          <w:noProof/>
        </w:rPr>
        <w:fldChar w:fldCharType="begin"/>
      </w:r>
      <w:r>
        <w:rPr>
          <w:noProof/>
        </w:rPr>
        <w:instrText xml:space="preserve"> PAGEREF _Toc10031226 \h </w:instrText>
      </w:r>
      <w:r>
        <w:rPr>
          <w:noProof/>
        </w:rPr>
      </w:r>
      <w:r>
        <w:rPr>
          <w:noProof/>
        </w:rPr>
        <w:fldChar w:fldCharType="separate"/>
      </w:r>
      <w:r>
        <w:rPr>
          <w:noProof/>
        </w:rPr>
        <w:t>56</w:t>
      </w:r>
      <w:r>
        <w:rPr>
          <w:noProof/>
        </w:rPr>
        <w:fldChar w:fldCharType="end"/>
      </w:r>
    </w:p>
    <w:p w14:paraId="14B466F7"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Table 18: Description of benefit assumptions</w:t>
      </w:r>
      <w:r>
        <w:rPr>
          <w:noProof/>
        </w:rPr>
        <w:tab/>
      </w:r>
      <w:r>
        <w:rPr>
          <w:noProof/>
        </w:rPr>
        <w:fldChar w:fldCharType="begin"/>
      </w:r>
      <w:r>
        <w:rPr>
          <w:noProof/>
        </w:rPr>
        <w:instrText xml:space="preserve"> PAGEREF _Toc10031227 \h </w:instrText>
      </w:r>
      <w:r>
        <w:rPr>
          <w:noProof/>
        </w:rPr>
      </w:r>
      <w:r>
        <w:rPr>
          <w:noProof/>
        </w:rPr>
        <w:fldChar w:fldCharType="separate"/>
      </w:r>
      <w:r>
        <w:rPr>
          <w:noProof/>
        </w:rPr>
        <w:t>59</w:t>
      </w:r>
      <w:r>
        <w:rPr>
          <w:noProof/>
        </w:rPr>
        <w:fldChar w:fldCharType="end"/>
      </w:r>
    </w:p>
    <w:p w14:paraId="67DEDFBB"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Table 19: Consumer participation cost</w:t>
      </w:r>
      <w:r>
        <w:rPr>
          <w:noProof/>
        </w:rPr>
        <w:tab/>
      </w:r>
      <w:r>
        <w:rPr>
          <w:noProof/>
        </w:rPr>
        <w:fldChar w:fldCharType="begin"/>
      </w:r>
      <w:r>
        <w:rPr>
          <w:noProof/>
        </w:rPr>
        <w:instrText xml:space="preserve"> PAGEREF _Toc10031228 \h </w:instrText>
      </w:r>
      <w:r>
        <w:rPr>
          <w:noProof/>
        </w:rPr>
      </w:r>
      <w:r>
        <w:rPr>
          <w:noProof/>
        </w:rPr>
        <w:fldChar w:fldCharType="separate"/>
      </w:r>
      <w:r>
        <w:rPr>
          <w:noProof/>
        </w:rPr>
        <w:t>65</w:t>
      </w:r>
      <w:r>
        <w:rPr>
          <w:noProof/>
        </w:rPr>
        <w:fldChar w:fldCharType="end"/>
      </w:r>
    </w:p>
    <w:p w14:paraId="6C39E624" w14:textId="77777777" w:rsidR="00022915" w:rsidRDefault="00022915" w:rsidP="00022915">
      <w:pPr>
        <w:pStyle w:val="TableofFigures"/>
        <w:tabs>
          <w:tab w:val="left" w:pos="1702"/>
        </w:tabs>
        <w:rPr>
          <w:rFonts w:asciiTheme="minorHAnsi" w:eastAsiaTheme="minorEastAsia" w:hAnsiTheme="minorHAnsi" w:cstheme="minorBidi"/>
          <w:noProof/>
          <w:sz w:val="22"/>
          <w:szCs w:val="22"/>
          <w:lang w:eastAsia="en-AU"/>
        </w:rPr>
      </w:pPr>
      <w:r>
        <w:rPr>
          <w:noProof/>
        </w:rPr>
        <w:t xml:space="preserve">Table 20: </w:t>
      </w:r>
      <w:r>
        <w:rPr>
          <w:rFonts w:asciiTheme="minorHAnsi" w:eastAsiaTheme="minorEastAsia" w:hAnsiTheme="minorHAnsi" w:cstheme="minorBidi"/>
          <w:noProof/>
          <w:sz w:val="22"/>
          <w:szCs w:val="22"/>
          <w:lang w:eastAsia="en-AU"/>
        </w:rPr>
        <w:tab/>
      </w:r>
      <w:r>
        <w:rPr>
          <w:noProof/>
        </w:rPr>
        <w:t>Willingness to pay to reduce public space litter, Western Australian households ($2017)</w:t>
      </w:r>
      <w:r>
        <w:rPr>
          <w:noProof/>
        </w:rPr>
        <w:tab/>
      </w:r>
      <w:r>
        <w:rPr>
          <w:noProof/>
        </w:rPr>
        <w:fldChar w:fldCharType="begin"/>
      </w:r>
      <w:r>
        <w:rPr>
          <w:noProof/>
        </w:rPr>
        <w:instrText xml:space="preserve"> PAGEREF _Toc10031229 \h </w:instrText>
      </w:r>
      <w:r>
        <w:rPr>
          <w:noProof/>
        </w:rPr>
      </w:r>
      <w:r>
        <w:rPr>
          <w:noProof/>
        </w:rPr>
        <w:fldChar w:fldCharType="separate"/>
      </w:r>
      <w:r>
        <w:rPr>
          <w:noProof/>
        </w:rPr>
        <w:t>68</w:t>
      </w:r>
      <w:r>
        <w:rPr>
          <w:noProof/>
        </w:rPr>
        <w:fldChar w:fldCharType="end"/>
      </w:r>
    </w:p>
    <w:p w14:paraId="043EF1C9" w14:textId="77777777" w:rsidR="00022915" w:rsidRDefault="00022915" w:rsidP="00022915">
      <w:pPr>
        <w:pStyle w:val="TableofFigures"/>
        <w:tabs>
          <w:tab w:val="left" w:pos="1702"/>
        </w:tabs>
        <w:rPr>
          <w:rFonts w:asciiTheme="minorHAnsi" w:eastAsiaTheme="minorEastAsia" w:hAnsiTheme="minorHAnsi" w:cstheme="minorBidi"/>
          <w:noProof/>
          <w:sz w:val="22"/>
          <w:szCs w:val="22"/>
          <w:lang w:eastAsia="en-AU"/>
        </w:rPr>
      </w:pPr>
      <w:r>
        <w:rPr>
          <w:noProof/>
        </w:rPr>
        <w:t xml:space="preserve">Table 21: </w:t>
      </w:r>
      <w:r>
        <w:rPr>
          <w:rFonts w:asciiTheme="minorHAnsi" w:eastAsiaTheme="minorEastAsia" w:hAnsiTheme="minorHAnsi" w:cstheme="minorBidi"/>
          <w:noProof/>
          <w:sz w:val="22"/>
          <w:szCs w:val="22"/>
          <w:lang w:eastAsia="en-AU"/>
        </w:rPr>
        <w:tab/>
      </w:r>
      <w:r>
        <w:rPr>
          <w:noProof/>
        </w:rPr>
        <w:t>Willingness to pay to increase waste packaging recycling, Western Australian households ($2017)</w:t>
      </w:r>
      <w:r>
        <w:rPr>
          <w:noProof/>
        </w:rPr>
        <w:tab/>
      </w:r>
      <w:r>
        <w:rPr>
          <w:noProof/>
        </w:rPr>
        <w:fldChar w:fldCharType="begin"/>
      </w:r>
      <w:r>
        <w:rPr>
          <w:noProof/>
        </w:rPr>
        <w:instrText xml:space="preserve"> PAGEREF _Toc10031230 \h </w:instrText>
      </w:r>
      <w:r>
        <w:rPr>
          <w:noProof/>
        </w:rPr>
      </w:r>
      <w:r>
        <w:rPr>
          <w:noProof/>
        </w:rPr>
        <w:fldChar w:fldCharType="separate"/>
      </w:r>
      <w:r>
        <w:rPr>
          <w:noProof/>
        </w:rPr>
        <w:t>70</w:t>
      </w:r>
      <w:r>
        <w:rPr>
          <w:noProof/>
        </w:rPr>
        <w:fldChar w:fldCharType="end"/>
      </w:r>
    </w:p>
    <w:p w14:paraId="7DCE657C" w14:textId="77777777" w:rsidR="00022915" w:rsidRDefault="00022915" w:rsidP="00022915">
      <w:pPr>
        <w:pStyle w:val="TableofFigures"/>
        <w:rPr>
          <w:rFonts w:asciiTheme="minorHAnsi" w:eastAsiaTheme="minorEastAsia" w:hAnsiTheme="minorHAnsi" w:cstheme="minorBidi"/>
          <w:noProof/>
          <w:sz w:val="22"/>
          <w:szCs w:val="22"/>
          <w:lang w:eastAsia="en-AU"/>
        </w:rPr>
      </w:pPr>
      <w:r>
        <w:rPr>
          <w:noProof/>
        </w:rPr>
        <w:t>Table 22: Costs and benefits</w:t>
      </w:r>
      <w:r>
        <w:rPr>
          <w:noProof/>
        </w:rPr>
        <w:tab/>
      </w:r>
      <w:r>
        <w:rPr>
          <w:noProof/>
        </w:rPr>
        <w:fldChar w:fldCharType="begin"/>
      </w:r>
      <w:r>
        <w:rPr>
          <w:noProof/>
        </w:rPr>
        <w:instrText xml:space="preserve"> PAGEREF _Toc10031231 \h </w:instrText>
      </w:r>
      <w:r>
        <w:rPr>
          <w:noProof/>
        </w:rPr>
      </w:r>
      <w:r>
        <w:rPr>
          <w:noProof/>
        </w:rPr>
        <w:fldChar w:fldCharType="separate"/>
      </w:r>
      <w:r>
        <w:rPr>
          <w:noProof/>
        </w:rPr>
        <w:t>71</w:t>
      </w:r>
      <w:r>
        <w:rPr>
          <w:noProof/>
        </w:rPr>
        <w:fldChar w:fldCharType="end"/>
      </w:r>
    </w:p>
    <w:p w14:paraId="72185276" w14:textId="77777777" w:rsidR="00022915" w:rsidRDefault="00022915" w:rsidP="00022915">
      <w:pPr>
        <w:pStyle w:val="TableofAuthorities"/>
      </w:pPr>
      <w:r>
        <w:fldChar w:fldCharType="end"/>
      </w:r>
      <w:bookmarkStart w:id="21" w:name="_Toc142884494"/>
      <w:bookmarkStart w:id="22" w:name="_Toc142884723"/>
      <w:bookmarkStart w:id="23" w:name="_Toc142886824"/>
    </w:p>
    <w:p w14:paraId="2A2061FE" w14:textId="77777777" w:rsidR="00022915" w:rsidRDefault="00022915" w:rsidP="00022915"/>
    <w:p w14:paraId="375C211E" w14:textId="77777777" w:rsidR="00022915" w:rsidRDefault="00022915" w:rsidP="00022915">
      <w:pPr>
        <w:sectPr w:rsidR="00022915" w:rsidSect="001F12B4">
          <w:headerReference w:type="even" r:id="rId13"/>
          <w:headerReference w:type="default" r:id="rId14"/>
          <w:footerReference w:type="even" r:id="rId15"/>
          <w:footerReference w:type="default" r:id="rId16"/>
          <w:type w:val="oddPage"/>
          <w:pgSz w:w="11906" w:h="16838"/>
          <w:pgMar w:top="1440" w:right="1440" w:bottom="1440" w:left="1440" w:header="720" w:footer="720" w:gutter="0"/>
          <w:pgNumType w:fmt="lowerRoman"/>
          <w:cols w:space="708"/>
          <w:docGrid w:linePitch="360"/>
        </w:sectPr>
      </w:pPr>
    </w:p>
    <w:p w14:paraId="646F5F8D" w14:textId="77777777" w:rsidR="00022915" w:rsidRDefault="00022915" w:rsidP="00022915">
      <w:pPr>
        <w:pStyle w:val="Heading1nonumbering"/>
      </w:pPr>
      <w:bookmarkStart w:id="24" w:name="_Toc142884495"/>
      <w:bookmarkStart w:id="25" w:name="_Toc142884724"/>
      <w:bookmarkStart w:id="26" w:name="_Toc142886825"/>
      <w:bookmarkStart w:id="27" w:name="_Toc222718706"/>
      <w:bookmarkStart w:id="28" w:name="_Toc9375360"/>
      <w:bookmarkStart w:id="29" w:name="Summary"/>
      <w:bookmarkEnd w:id="21"/>
      <w:bookmarkEnd w:id="22"/>
      <w:bookmarkEnd w:id="23"/>
      <w:r>
        <w:t>Summary</w:t>
      </w:r>
      <w:bookmarkEnd w:id="24"/>
      <w:bookmarkEnd w:id="25"/>
      <w:bookmarkEnd w:id="26"/>
      <w:bookmarkEnd w:id="27"/>
      <w:bookmarkEnd w:id="28"/>
    </w:p>
    <w:bookmarkEnd w:id="29"/>
    <w:p w14:paraId="1FB19465" w14:textId="77777777" w:rsidR="00022915" w:rsidRPr="0005199F" w:rsidRDefault="00022915" w:rsidP="00022915">
      <w:r w:rsidRPr="001207F7">
        <w:t xml:space="preserve">This </w:t>
      </w:r>
      <w:r>
        <w:t>Decision Regulation Impact Statement</w:t>
      </w:r>
      <w:r w:rsidRPr="001207F7">
        <w:t xml:space="preserve"> provides a</w:t>
      </w:r>
      <w:r>
        <w:t>n</w:t>
      </w:r>
      <w:r w:rsidRPr="001207F7">
        <w:t xml:space="preserve"> assessment of the costs and benefits of </w:t>
      </w:r>
      <w:r>
        <w:t xml:space="preserve">the </w:t>
      </w:r>
      <w:r w:rsidRPr="001207F7">
        <w:t>proposed container deposit scheme (</w:t>
      </w:r>
      <w:r w:rsidRPr="00EF10B4">
        <w:t>CDS</w:t>
      </w:r>
      <w:r w:rsidRPr="001207F7">
        <w:t xml:space="preserve">) and </w:t>
      </w:r>
      <w:r>
        <w:t>summarises</w:t>
      </w:r>
      <w:r w:rsidRPr="001207F7">
        <w:t xml:space="preserve"> comment</w:t>
      </w:r>
      <w:r>
        <w:t>s provided</w:t>
      </w:r>
      <w:r w:rsidRPr="001207F7">
        <w:t xml:space="preserve"> </w:t>
      </w:r>
      <w:r>
        <w:t>through the consultation process</w:t>
      </w:r>
      <w:r w:rsidRPr="001207F7">
        <w:t xml:space="preserve">.  </w:t>
      </w:r>
    </w:p>
    <w:p w14:paraId="7A9696F1" w14:textId="77777777" w:rsidR="00022915" w:rsidRPr="001207F7" w:rsidRDefault="00022915" w:rsidP="00022915">
      <w:r w:rsidRPr="001207F7">
        <w:t xml:space="preserve">It is estimated that around 1,800 million beverages are consumed in </w:t>
      </w:r>
      <w:r>
        <w:t>Western Australia</w:t>
      </w:r>
      <w:r w:rsidRPr="001207F7">
        <w:t>, every year. While most of those beverages come in recyclable containers (such as drink</w:t>
      </w:r>
      <w:r>
        <w:t> </w:t>
      </w:r>
      <w:r w:rsidRPr="001207F7">
        <w:t>bottles and cans) many of them</w:t>
      </w:r>
      <w:r>
        <w:t xml:space="preserve"> end</w:t>
      </w:r>
      <w:r w:rsidRPr="001207F7">
        <w:t xml:space="preserve"> up in landfill or become litter.</w:t>
      </w:r>
    </w:p>
    <w:p w14:paraId="7E299ADA" w14:textId="77777777" w:rsidR="00022915" w:rsidRPr="001207F7" w:rsidRDefault="00022915" w:rsidP="00022915">
      <w:r w:rsidRPr="001207F7">
        <w:t>The</w:t>
      </w:r>
      <w:r>
        <w:t xml:space="preserve"> Western Australian </w:t>
      </w:r>
      <w:r w:rsidRPr="001207F7">
        <w:t xml:space="preserve">Government is committed to implementing a </w:t>
      </w:r>
      <w:r>
        <w:t>CDS</w:t>
      </w:r>
      <w:r w:rsidRPr="001207F7">
        <w:t xml:space="preserve"> </w:t>
      </w:r>
      <w:r w:rsidRPr="007B71AD">
        <w:t>from 2020.</w:t>
      </w:r>
      <w:r w:rsidRPr="001207F7">
        <w:t xml:space="preserve">  The CDS will reduce litter, increase recycling, protect the environment and help engage the community in active and positive recycling behaviours.</w:t>
      </w:r>
    </w:p>
    <w:p w14:paraId="1D268E6A" w14:textId="77777777" w:rsidR="00022915" w:rsidRPr="001207F7" w:rsidRDefault="00022915" w:rsidP="00022915">
      <w:r w:rsidRPr="001207F7">
        <w:t xml:space="preserve">Guided by the results of public consultation, </w:t>
      </w:r>
      <w:r>
        <w:t>Western Australia</w:t>
      </w:r>
      <w:r w:rsidRPr="001207F7">
        <w:t xml:space="preserve">’s CDS aligns with the state’s waste strategy and litter strategy </w:t>
      </w:r>
      <w:r>
        <w:t>as well as</w:t>
      </w:r>
      <w:r w:rsidRPr="001207F7">
        <w:t xml:space="preserve"> container deposit schemes in New South Wales, Queensland, South Australia</w:t>
      </w:r>
      <w:r>
        <w:t xml:space="preserve">, </w:t>
      </w:r>
      <w:r w:rsidRPr="001207F7">
        <w:t>the Australian Capital Territory</w:t>
      </w:r>
      <w:r>
        <w:t xml:space="preserve">, and </w:t>
      </w:r>
      <w:r w:rsidRPr="001207F7">
        <w:t>Northern Territory</w:t>
      </w:r>
      <w:r>
        <w:t>.</w:t>
      </w:r>
    </w:p>
    <w:p w14:paraId="6B323DAA" w14:textId="77777777" w:rsidR="00022915" w:rsidRPr="001207F7" w:rsidRDefault="00022915" w:rsidP="00022915">
      <w:r w:rsidRPr="001207F7">
        <w:t>Key features of the CDS are:</w:t>
      </w:r>
    </w:p>
    <w:p w14:paraId="017495B4" w14:textId="77777777" w:rsidR="00022915" w:rsidRPr="001207F7" w:rsidRDefault="00022915" w:rsidP="00022915">
      <w:pPr>
        <w:pStyle w:val="Bullets1stindent"/>
      </w:pPr>
      <w:r w:rsidRPr="001207F7">
        <w:t xml:space="preserve">a </w:t>
      </w:r>
      <w:r>
        <w:t>ten</w:t>
      </w:r>
      <w:r w:rsidRPr="001207F7">
        <w:t xml:space="preserve"> cent refund would be applied to eligible drink containers between 150 millilitres and 3 litres; and</w:t>
      </w:r>
    </w:p>
    <w:p w14:paraId="709FC014" w14:textId="77777777" w:rsidR="00022915" w:rsidRPr="001207F7" w:rsidRDefault="00022915" w:rsidP="00022915">
      <w:pPr>
        <w:pStyle w:val="Bullets1stindent"/>
      </w:pPr>
      <w:r w:rsidRPr="001207F7">
        <w:t xml:space="preserve">all eligible containers will display a refund mark. </w:t>
      </w:r>
    </w:p>
    <w:p w14:paraId="3B98A71E" w14:textId="77777777" w:rsidR="00022915" w:rsidRDefault="00022915" w:rsidP="00022915">
      <w:r>
        <w:t xml:space="preserve">The Consultation Regulation Impact Statement was published on </w:t>
      </w:r>
      <w:r w:rsidRPr="00561893">
        <w:t>13 August 2018</w:t>
      </w:r>
      <w:r>
        <w:t xml:space="preserve"> and a public comment period ran until </w:t>
      </w:r>
      <w:r w:rsidRPr="00561893">
        <w:t>10 September 2018.</w:t>
      </w:r>
      <w:r>
        <w:t xml:space="preserve">  In response to the consultation paper, a total of 13 submissions were received, and these submissions are available online.</w:t>
      </w:r>
      <w:r>
        <w:rPr>
          <w:rStyle w:val="FootnoteReference"/>
        </w:rPr>
        <w:footnoteReference w:id="1"/>
      </w:r>
      <w:r>
        <w:t xml:space="preserve">  This Decision Regulation Impact Statement reflects these comments, as well as adjustments in the design and implementation of the scheme that have taken place since the close of the consultation period. </w:t>
      </w:r>
    </w:p>
    <w:p w14:paraId="6A5005D5" w14:textId="77777777" w:rsidR="00022915" w:rsidRDefault="00022915" w:rsidP="00022915">
      <w:r w:rsidRPr="0034593F">
        <w:t xml:space="preserve">The </w:t>
      </w:r>
      <w:r w:rsidRPr="001B742E">
        <w:t>cost-benefit analysis results indicate that the Western Australian CDS will deliver net present value benefits of $12</w:t>
      </w:r>
      <w:r>
        <w:t>8</w:t>
      </w:r>
      <w:r w:rsidRPr="001B742E">
        <w:t> million to the economy.  The benefit-cost ratio result is 1.29, indicating that $1.29 of benefits will result for every $1 of cost.</w:t>
      </w:r>
      <w:r w:rsidRPr="001B742E">
        <w:rPr>
          <w:rStyle w:val="FootnoteReference"/>
        </w:rPr>
        <w:footnoteReference w:id="2"/>
      </w:r>
    </w:p>
    <w:p w14:paraId="1AFCB7B7" w14:textId="77777777" w:rsidR="00022915" w:rsidRPr="001207F7" w:rsidRDefault="00022915" w:rsidP="00022915">
      <w:r w:rsidRPr="001207F7">
        <w:t xml:space="preserve">The analysis in this paper </w:t>
      </w:r>
      <w:r>
        <w:t>found</w:t>
      </w:r>
      <w:r w:rsidRPr="001207F7">
        <w:t xml:space="preserve"> that there </w:t>
      </w:r>
      <w:r>
        <w:t xml:space="preserve">are expected to </w:t>
      </w:r>
      <w:r w:rsidRPr="001207F7">
        <w:t xml:space="preserve">be net benefits of the </w:t>
      </w:r>
      <w:r>
        <w:t>planned</w:t>
      </w:r>
      <w:r w:rsidRPr="001207F7">
        <w:t xml:space="preserve"> CDS to </w:t>
      </w:r>
      <w:r>
        <w:t>Western Australia</w:t>
      </w:r>
      <w:r w:rsidRPr="001207F7">
        <w:t xml:space="preserve"> driven by significant environmental benefits and a small net cost on the beverage industry. </w:t>
      </w:r>
    </w:p>
    <w:p w14:paraId="6C209A34" w14:textId="77777777" w:rsidR="00022915" w:rsidRPr="001207F7" w:rsidRDefault="00022915" w:rsidP="00022915">
      <w:r w:rsidRPr="001207F7">
        <w:t>The estimated net benefits are not sensitive to changes in key assumptions, aside from the community’s willingness to pay for reductions in litter and increased recycling.  It is noted that these results are comparable to studies in other jurisdictions.</w:t>
      </w:r>
    </w:p>
    <w:p w14:paraId="39C8BBF8" w14:textId="77777777" w:rsidR="00022915" w:rsidRPr="003D786E" w:rsidRDefault="00022915" w:rsidP="00022915">
      <w:r w:rsidRPr="003D786E">
        <w:t xml:space="preserve">The Decision Regulation Impact Statement is based on an up to date estimate of the collection network that would meet the minimum requirements set out in the </w:t>
      </w:r>
      <w:r w:rsidRPr="003D786E">
        <w:rPr>
          <w:i/>
        </w:rPr>
        <w:t>Minimum network standards: Refund point locations and hours of operation</w:t>
      </w:r>
      <w:r w:rsidRPr="003D786E">
        <w:t>.</w:t>
      </w:r>
      <w:r w:rsidRPr="003D786E">
        <w:rPr>
          <w:rStyle w:val="FootnoteReference"/>
        </w:rPr>
        <w:footnoteReference w:id="3"/>
      </w:r>
      <w:r w:rsidRPr="003D786E">
        <w:t xml:space="preserve"> The approach to defining the minimum network standards is consistent with other jurisdictions, with additional consideration also given to the size, remoteness and population density of Western Australia. </w:t>
      </w:r>
    </w:p>
    <w:p w14:paraId="64DFF554" w14:textId="77777777" w:rsidR="00022915" w:rsidRDefault="00022915" w:rsidP="00022915">
      <w:pPr>
        <w:sectPr w:rsidR="00022915" w:rsidSect="001F12B4">
          <w:type w:val="oddPage"/>
          <w:pgSz w:w="11906" w:h="16838"/>
          <w:pgMar w:top="1440" w:right="1440" w:bottom="1440" w:left="1440" w:header="720" w:footer="720" w:gutter="0"/>
          <w:pgNumType w:fmt="lowerRoman"/>
          <w:cols w:space="708"/>
          <w:docGrid w:linePitch="360"/>
        </w:sectPr>
      </w:pPr>
      <w:r w:rsidRPr="003D786E">
        <w:t xml:space="preserve">The </w:t>
      </w:r>
      <w:r w:rsidRPr="003D786E">
        <w:rPr>
          <w:i/>
        </w:rPr>
        <w:t>Minimum network standards: Refund point locations and hours of operation</w:t>
      </w:r>
      <w:r w:rsidRPr="003D786E">
        <w:t xml:space="preserve"> were subject to a separate public consultation process from 25 October 2018 to 6 December 2018.</w:t>
      </w:r>
      <w:r w:rsidRPr="003D786E">
        <w:rPr>
          <w:rStyle w:val="FootnoteReference"/>
        </w:rPr>
        <w:footnoteReference w:id="4"/>
      </w:r>
      <w:r w:rsidRPr="003D786E">
        <w:t xml:space="preserve"> The final minimum network standards</w:t>
      </w:r>
      <w:r w:rsidRPr="003D786E" w:rsidDel="0050156A">
        <w:t xml:space="preserve"> </w:t>
      </w:r>
      <w:r w:rsidRPr="003D786E">
        <w:t>are informed by the submissions to this process.  This Decision</w:t>
      </w:r>
      <w:r>
        <w:t xml:space="preserve"> Regulation Impact Statement has been updated to reflect these </w:t>
      </w:r>
      <w:r w:rsidRPr="003D786E">
        <w:t>minimum network standards</w:t>
      </w:r>
      <w:r>
        <w:t>.</w:t>
      </w:r>
    </w:p>
    <w:p w14:paraId="7ED3885B" w14:textId="77777777" w:rsidR="00022915" w:rsidRPr="004A0266" w:rsidRDefault="00022915" w:rsidP="00022915">
      <w:pPr>
        <w:pStyle w:val="Heading1"/>
      </w:pPr>
      <w:bookmarkStart w:id="30" w:name="_Toc9375361"/>
      <w:r w:rsidRPr="004A0266">
        <w:t>Statement of the problem</w:t>
      </w:r>
      <w:bookmarkEnd w:id="30"/>
    </w:p>
    <w:p w14:paraId="1422FA08" w14:textId="77777777" w:rsidR="00022915" w:rsidRDefault="00022915" w:rsidP="00022915">
      <w:r>
        <w:t>It is estimated that around 1,800 million beverages are consumed in Western Australia, every year (KAB, 2016).  While most of those beverages come in readily recyclable containers (</w:t>
      </w:r>
      <w:r w:rsidRPr="008D5196">
        <w:t>such as glass, plastic, aluminium and cardboard</w:t>
      </w:r>
      <w:r>
        <w:t>), many of them end up in landfill or become litter.</w:t>
      </w:r>
    </w:p>
    <w:p w14:paraId="1CDEB8D6" w14:textId="77777777" w:rsidR="00022915" w:rsidRPr="008D5196" w:rsidRDefault="00022915" w:rsidP="00022915">
      <w:r w:rsidRPr="008D5196">
        <w:rPr>
          <w:lang w:eastAsia="en-AU"/>
        </w:rPr>
        <w:t xml:space="preserve">Beverage containers make up </w:t>
      </w:r>
      <w:r w:rsidRPr="00013DCD">
        <w:rPr>
          <w:lang w:eastAsia="en-AU"/>
        </w:rPr>
        <w:t>4</w:t>
      </w:r>
      <w:r>
        <w:rPr>
          <w:lang w:eastAsia="en-AU"/>
        </w:rPr>
        <w:t>5 per cent</w:t>
      </w:r>
      <w:r w:rsidRPr="008D5196">
        <w:rPr>
          <w:rStyle w:val="FootnoteReference"/>
          <w:lang w:eastAsia="en-AU"/>
        </w:rPr>
        <w:footnoteReference w:id="5"/>
      </w:r>
      <w:r w:rsidRPr="008D5196">
        <w:rPr>
          <w:lang w:eastAsia="en-AU"/>
        </w:rPr>
        <w:t xml:space="preserve"> of the volume of litter in our streets, waterways, parks and </w:t>
      </w:r>
      <w:r>
        <w:rPr>
          <w:lang w:eastAsia="en-AU"/>
        </w:rPr>
        <w:t xml:space="preserve">on </w:t>
      </w:r>
      <w:r w:rsidRPr="008D5196">
        <w:rPr>
          <w:lang w:eastAsia="en-AU"/>
        </w:rPr>
        <w:t>roadsides</w:t>
      </w:r>
      <w:r w:rsidRPr="006B21C6">
        <w:t xml:space="preserve"> </w:t>
      </w:r>
      <w:r>
        <w:t xml:space="preserve">(KAB, 2016) and </w:t>
      </w:r>
      <w:r w:rsidRPr="008D5196">
        <w:rPr>
          <w:lang w:eastAsia="en-AU"/>
        </w:rPr>
        <w:t xml:space="preserve">are a highly visible part of the waste stream. </w:t>
      </w:r>
    </w:p>
    <w:p w14:paraId="27659880" w14:textId="77777777" w:rsidR="00022915" w:rsidRDefault="00022915" w:rsidP="00022915">
      <w:pPr>
        <w:rPr>
          <w:lang w:eastAsia="en-AU"/>
        </w:rPr>
      </w:pPr>
      <w:r w:rsidRPr="008D5196">
        <w:rPr>
          <w:lang w:eastAsia="en-AU"/>
        </w:rPr>
        <w:t>Discarded</w:t>
      </w:r>
      <w:r>
        <w:rPr>
          <w:lang w:eastAsia="en-AU"/>
        </w:rPr>
        <w:t xml:space="preserve"> containers can create environmental risks, including by breaking down over time, contributing to the pollution in waterways and other parts of the environment and to ingestion by wildlife.</w:t>
      </w:r>
    </w:p>
    <w:p w14:paraId="7F982729" w14:textId="77777777" w:rsidR="00022915" w:rsidRPr="0083027F" w:rsidRDefault="00022915" w:rsidP="00022915">
      <w:r>
        <w:rPr>
          <w:lang w:eastAsia="en-AU"/>
        </w:rPr>
        <w:t xml:space="preserve">Data from other jurisdictions shows that the introduction of a </w:t>
      </w:r>
      <w:r w:rsidRPr="0083027F">
        <w:rPr>
          <w:lang w:eastAsia="en-AU"/>
        </w:rPr>
        <w:t>CDS is likely to significantly reduce the volume of litter and increase recycling rates.  In South</w:t>
      </w:r>
      <w:r>
        <w:rPr>
          <w:lang w:eastAsia="en-AU"/>
        </w:rPr>
        <w:t> </w:t>
      </w:r>
      <w:r w:rsidRPr="0083027F">
        <w:rPr>
          <w:lang w:eastAsia="en-AU"/>
        </w:rPr>
        <w:t>Australia</w:t>
      </w:r>
      <w:r>
        <w:rPr>
          <w:lang w:eastAsia="en-AU"/>
        </w:rPr>
        <w:t xml:space="preserve">, </w:t>
      </w:r>
      <w:r w:rsidRPr="0083027F">
        <w:rPr>
          <w:lang w:eastAsia="en-AU"/>
        </w:rPr>
        <w:t>where there has been a CDS for over 40 </w:t>
      </w:r>
      <w:r>
        <w:rPr>
          <w:lang w:eastAsia="en-AU"/>
        </w:rPr>
        <w:t>years,</w:t>
      </w:r>
      <w:r w:rsidRPr="0083027F">
        <w:rPr>
          <w:lang w:eastAsia="en-AU"/>
        </w:rPr>
        <w:t xml:space="preserve"> </w:t>
      </w:r>
      <w:r>
        <w:rPr>
          <w:lang w:eastAsia="en-AU"/>
        </w:rPr>
        <w:t xml:space="preserve">in 2015-16 </w:t>
      </w:r>
      <w:r w:rsidRPr="0083027F">
        <w:rPr>
          <w:lang w:eastAsia="en-AU"/>
        </w:rPr>
        <w:t>beverage containers made up 17</w:t>
      </w:r>
      <w:r>
        <w:rPr>
          <w:lang w:eastAsia="en-AU"/>
        </w:rPr>
        <w:t xml:space="preserve"> per cent</w:t>
      </w:r>
      <w:r w:rsidRPr="0083027F">
        <w:rPr>
          <w:lang w:eastAsia="en-AU"/>
        </w:rPr>
        <w:t xml:space="preserve"> of litter by volume and in the Northern Territory</w:t>
      </w:r>
      <w:r>
        <w:rPr>
          <w:lang w:eastAsia="en-AU"/>
        </w:rPr>
        <w:t xml:space="preserve">, </w:t>
      </w:r>
      <w:r w:rsidRPr="0083027F">
        <w:rPr>
          <w:lang w:eastAsia="en-AU"/>
        </w:rPr>
        <w:t>which introduced a CDS in 2012</w:t>
      </w:r>
      <w:r>
        <w:rPr>
          <w:lang w:eastAsia="en-AU"/>
        </w:rPr>
        <w:t xml:space="preserve">, </w:t>
      </w:r>
      <w:r w:rsidRPr="0083027F">
        <w:rPr>
          <w:lang w:eastAsia="en-AU"/>
        </w:rPr>
        <w:t xml:space="preserve">beverage containers made up </w:t>
      </w:r>
      <w:r>
        <w:rPr>
          <w:lang w:eastAsia="en-AU"/>
        </w:rPr>
        <w:t>24 per cent</w:t>
      </w:r>
      <w:r w:rsidRPr="0083027F">
        <w:rPr>
          <w:lang w:eastAsia="en-AU"/>
        </w:rPr>
        <w:t xml:space="preserve"> of litter by volume.</w:t>
      </w:r>
      <w:r w:rsidRPr="0083027F">
        <w:rPr>
          <w:rStyle w:val="FootnoteReference"/>
          <w:lang w:eastAsia="en-AU"/>
        </w:rPr>
        <w:footnoteReference w:id="6"/>
      </w:r>
    </w:p>
    <w:p w14:paraId="0B2346BC" w14:textId="77777777" w:rsidR="00022915" w:rsidRDefault="00022915" w:rsidP="00022915">
      <w:r w:rsidRPr="0083027F">
        <w:t xml:space="preserve">This </w:t>
      </w:r>
      <w:r>
        <w:t>Decision</w:t>
      </w:r>
      <w:r w:rsidRPr="0083027F">
        <w:t xml:space="preserve"> Regulation Impact Statement (</w:t>
      </w:r>
      <w:r w:rsidRPr="00EF10B4">
        <w:t>RIS</w:t>
      </w:r>
      <w:r w:rsidRPr="0083027F">
        <w:t>) examines</w:t>
      </w:r>
      <w:r w:rsidRPr="007C3FD5">
        <w:t xml:space="preserve"> the </w:t>
      </w:r>
      <w:r>
        <w:t xml:space="preserve">costs and benefits </w:t>
      </w:r>
      <w:r w:rsidRPr="007C3FD5">
        <w:t xml:space="preserve">of a CDS in </w:t>
      </w:r>
      <w:r>
        <w:t>Western Australia, key components of which are designed to align with the existing schemes in other Australian jurisdictions.</w:t>
      </w:r>
      <w:r>
        <w:rPr>
          <w:rStyle w:val="FootnoteReference"/>
        </w:rPr>
        <w:footnoteReference w:id="7"/>
      </w:r>
    </w:p>
    <w:p w14:paraId="635D5111" w14:textId="77777777" w:rsidR="00022915" w:rsidRDefault="00022915" w:rsidP="00022915">
      <w:pPr>
        <w:pStyle w:val="Heading2"/>
      </w:pPr>
      <w:bookmarkStart w:id="31" w:name="_Toc9375362"/>
      <w:r>
        <w:t>Market failure</w:t>
      </w:r>
      <w:bookmarkEnd w:id="31"/>
    </w:p>
    <w:p w14:paraId="0DFBF0EA" w14:textId="77777777" w:rsidR="00022915" w:rsidRDefault="00022915" w:rsidP="00022915">
      <w:r w:rsidRPr="00B61BE3">
        <w:t xml:space="preserve">Market failures are an important consideration when assessing the case for government intervention. Markets take </w:t>
      </w:r>
      <w:r>
        <w:t xml:space="preserve">account of </w:t>
      </w:r>
      <w:r w:rsidRPr="00B61BE3">
        <w:t>many of the costs and benefits of managing waste</w:t>
      </w:r>
      <w:r>
        <w:t xml:space="preserve">, </w:t>
      </w:r>
      <w:r w:rsidRPr="00B61BE3">
        <w:t>provid</w:t>
      </w:r>
      <w:r>
        <w:t>ing</w:t>
      </w:r>
      <w:r w:rsidRPr="00B61BE3">
        <w:t xml:space="preserve"> incentives to reduce waste and recycle</w:t>
      </w:r>
      <w:r>
        <w:t xml:space="preserve"> more.  </w:t>
      </w:r>
    </w:p>
    <w:p w14:paraId="1555FE87" w14:textId="77777777" w:rsidR="00022915" w:rsidRPr="00B61BE3" w:rsidRDefault="00022915" w:rsidP="00022915">
      <w:r>
        <w:t>M</w:t>
      </w:r>
      <w:r w:rsidRPr="00B61BE3">
        <w:t xml:space="preserve">arket failures </w:t>
      </w:r>
      <w:r>
        <w:t xml:space="preserve">such as the complexity of considering </w:t>
      </w:r>
      <w:r w:rsidRPr="00B61BE3">
        <w:t>environmental impacts</w:t>
      </w:r>
      <w:r>
        <w:t>, including</w:t>
      </w:r>
      <w:r w:rsidRPr="00B61BE3">
        <w:t xml:space="preserve"> the ingestion of container plastics by wildlife and the degradation of amenity from litter</w:t>
      </w:r>
      <w:r>
        <w:t xml:space="preserve">, in </w:t>
      </w:r>
      <w:r w:rsidRPr="00B61BE3">
        <w:t xml:space="preserve">economic models can </w:t>
      </w:r>
      <w:r>
        <w:t xml:space="preserve">reduce the effectiveness of </w:t>
      </w:r>
      <w:r w:rsidRPr="00B61BE3">
        <w:t xml:space="preserve">incentives. </w:t>
      </w:r>
    </w:p>
    <w:p w14:paraId="1F123964" w14:textId="77777777" w:rsidR="00022915" w:rsidRPr="009146F0" w:rsidRDefault="00022915" w:rsidP="00022915">
      <w:r>
        <w:t>The</w:t>
      </w:r>
      <w:r w:rsidRPr="009146F0">
        <w:t xml:space="preserve"> market failures </w:t>
      </w:r>
      <w:r>
        <w:t xml:space="preserve">associated with </w:t>
      </w:r>
      <w:r w:rsidRPr="009146F0">
        <w:t>beverage containers</w:t>
      </w:r>
      <w:r>
        <w:t xml:space="preserve"> include</w:t>
      </w:r>
      <w:r w:rsidRPr="009146F0">
        <w:t>:</w:t>
      </w:r>
    </w:p>
    <w:p w14:paraId="19307B96" w14:textId="77777777" w:rsidR="00022915" w:rsidRPr="006C2A98" w:rsidRDefault="00022915" w:rsidP="00022915">
      <w:pPr>
        <w:pStyle w:val="Bullets1stindent"/>
        <w:rPr>
          <w:rStyle w:val="Italic"/>
        </w:rPr>
      </w:pPr>
      <w:r w:rsidRPr="006C2A98">
        <w:rPr>
          <w:rStyle w:val="Italic"/>
        </w:rPr>
        <w:t>Weak incentives to recycle</w:t>
      </w:r>
    </w:p>
    <w:p w14:paraId="7401DD31" w14:textId="77777777" w:rsidR="00022915" w:rsidRPr="009146F0" w:rsidRDefault="00022915" w:rsidP="00022915">
      <w:pPr>
        <w:pStyle w:val="Indent1"/>
      </w:pPr>
      <w:r>
        <w:t>C</w:t>
      </w:r>
      <w:r w:rsidRPr="009146F0">
        <w:t xml:space="preserve">onsumers of packaged products do not have a strong financial incentive to recycle their residual packaging or dispose of it </w:t>
      </w:r>
      <w:r>
        <w:t>through</w:t>
      </w:r>
      <w:r w:rsidRPr="009146F0">
        <w:t xml:space="preserve"> the regular disposal systems</w:t>
      </w:r>
      <w:r>
        <w:t>.</w:t>
      </w:r>
    </w:p>
    <w:p w14:paraId="068F8762" w14:textId="77777777" w:rsidR="00022915" w:rsidRPr="009146F0" w:rsidRDefault="00022915" w:rsidP="00022915">
      <w:pPr>
        <w:pStyle w:val="Indent1"/>
      </w:pPr>
      <w:r>
        <w:t>In addition, the p</w:t>
      </w:r>
      <w:r w:rsidRPr="009146F0">
        <w:t xml:space="preserve">roducers of packaged goods do not bear the </w:t>
      </w:r>
      <w:r>
        <w:t xml:space="preserve">whole </w:t>
      </w:r>
      <w:r w:rsidRPr="009146F0">
        <w:t>cost of dispos</w:t>
      </w:r>
      <w:r>
        <w:t>ing</w:t>
      </w:r>
      <w:r w:rsidRPr="009146F0">
        <w:t xml:space="preserve"> of packaging</w:t>
      </w:r>
      <w:r>
        <w:t xml:space="preserve"> nor </w:t>
      </w:r>
      <w:r w:rsidRPr="009146F0">
        <w:t xml:space="preserve">do </w:t>
      </w:r>
      <w:r>
        <w:t xml:space="preserve">they </w:t>
      </w:r>
      <w:r w:rsidRPr="009146F0">
        <w:t xml:space="preserve">benefit from </w:t>
      </w:r>
      <w:r>
        <w:t>the</w:t>
      </w:r>
      <w:r w:rsidRPr="009146F0">
        <w:t xml:space="preserve"> value</w:t>
      </w:r>
      <w:r>
        <w:t xml:space="preserve"> </w:t>
      </w:r>
      <w:r w:rsidRPr="009146F0">
        <w:t>that arise</w:t>
      </w:r>
      <w:r>
        <w:t>s</w:t>
      </w:r>
      <w:r w:rsidRPr="009146F0">
        <w:t xml:space="preserve"> from recycling instead of </w:t>
      </w:r>
      <w:r>
        <w:t xml:space="preserve">disposing of materials to </w:t>
      </w:r>
      <w:r w:rsidRPr="009146F0">
        <w:t>landfil</w:t>
      </w:r>
      <w:r>
        <w:t>l</w:t>
      </w:r>
      <w:r w:rsidRPr="009146F0">
        <w:t xml:space="preserve">. This means that </w:t>
      </w:r>
      <w:r>
        <w:t>they</w:t>
      </w:r>
      <w:r w:rsidRPr="009146F0">
        <w:t xml:space="preserve"> are often faced with incentives to increase the use of non-recyclable materials to enhance attractiveness and presentation.</w:t>
      </w:r>
    </w:p>
    <w:p w14:paraId="4B496157" w14:textId="77777777" w:rsidR="00022915" w:rsidRPr="006C4B8A" w:rsidRDefault="00022915" w:rsidP="00022915">
      <w:pPr>
        <w:pStyle w:val="Bullets1stindent"/>
        <w:keepNext/>
      </w:pPr>
      <w:r w:rsidRPr="006C2A98">
        <w:rPr>
          <w:rStyle w:val="Italic"/>
        </w:rPr>
        <w:t>Externalities</w:t>
      </w:r>
    </w:p>
    <w:p w14:paraId="59281CEC" w14:textId="77777777" w:rsidR="00022915" w:rsidRDefault="00022915" w:rsidP="00022915">
      <w:pPr>
        <w:pStyle w:val="Indent1"/>
      </w:pPr>
      <w:r w:rsidRPr="009146F0">
        <w:t xml:space="preserve">Littering negatively affects social amenity, human health (for example, </w:t>
      </w:r>
      <w:r>
        <w:t xml:space="preserve">through </w:t>
      </w:r>
      <w:r w:rsidRPr="009146F0">
        <w:t xml:space="preserve">toxins and broken glass) and the environment (for example, through animals’ ingestion of plastic). </w:t>
      </w:r>
    </w:p>
    <w:p w14:paraId="72EA6D29" w14:textId="77777777" w:rsidR="00022915" w:rsidRPr="009146F0" w:rsidRDefault="00022915" w:rsidP="00022915">
      <w:r w:rsidRPr="009146F0">
        <w:t>The cost of cleaning up litter is mostly borne by governments</w:t>
      </w:r>
      <w:r>
        <w:t xml:space="preserve">, </w:t>
      </w:r>
      <w:r w:rsidRPr="009146F0">
        <w:t>not the producers of packaged goods</w:t>
      </w:r>
      <w:r>
        <w:t xml:space="preserve">.  As such, the producers </w:t>
      </w:r>
      <w:r w:rsidRPr="009146F0">
        <w:t xml:space="preserve">do not have a financial incentive to minimise impacts when packaging is littered. </w:t>
      </w:r>
      <w:r>
        <w:t xml:space="preserve"> </w:t>
      </w:r>
      <w:r w:rsidRPr="009146F0">
        <w:t>Likewise, the incentives faced by consumers are mixed (externalities).</w:t>
      </w:r>
    </w:p>
    <w:p w14:paraId="266ABF86" w14:textId="77777777" w:rsidR="00022915" w:rsidRDefault="00022915" w:rsidP="00022915">
      <w:r>
        <w:t>These market failures can result in two undesirable outcomes:</w:t>
      </w:r>
    </w:p>
    <w:p w14:paraId="68423472" w14:textId="77777777" w:rsidR="00022915" w:rsidRPr="008D5196" w:rsidRDefault="00022915" w:rsidP="00022915">
      <w:pPr>
        <w:pStyle w:val="Bullets1stindent"/>
        <w:spacing w:line="240" w:lineRule="auto"/>
      </w:pPr>
      <w:r w:rsidRPr="008D5196">
        <w:t>beverage containers becom</w:t>
      </w:r>
      <w:r>
        <w:t>e</w:t>
      </w:r>
      <w:r w:rsidRPr="008D5196">
        <w:t xml:space="preserve"> litter; </w:t>
      </w:r>
      <w:r>
        <w:t>and</w:t>
      </w:r>
    </w:p>
    <w:p w14:paraId="4EE2DF2B" w14:textId="77777777" w:rsidR="00022915" w:rsidRPr="00692F8B" w:rsidRDefault="00022915" w:rsidP="00022915">
      <w:pPr>
        <w:pStyle w:val="Bullets1stindent"/>
        <w:spacing w:line="240" w:lineRule="auto"/>
      </w:pPr>
      <w:r w:rsidRPr="00692F8B">
        <w:t>containers that could be recycled instead go to landfill.</w:t>
      </w:r>
    </w:p>
    <w:p w14:paraId="709841B8" w14:textId="77777777" w:rsidR="00022915" w:rsidRDefault="00022915" w:rsidP="00022915">
      <w:r w:rsidRPr="00B61BE3">
        <w:t xml:space="preserve">Australian governments often intervene in markets to improve their efficiency and to achieve economic, social and environmental benefits. </w:t>
      </w:r>
      <w:r>
        <w:t xml:space="preserve"> </w:t>
      </w:r>
      <w:r w:rsidRPr="00182EF4">
        <w:rPr>
          <w:rFonts w:cs="Calibri"/>
        </w:rPr>
        <w:t>CDS</w:t>
      </w:r>
      <w:r>
        <w:rPr>
          <w:rFonts w:cs="Calibri"/>
        </w:rPr>
        <w:t>s</w:t>
      </w:r>
      <w:r w:rsidRPr="00182EF4">
        <w:rPr>
          <w:rFonts w:cs="Calibri"/>
        </w:rPr>
        <w:t xml:space="preserve"> are a mature and proven product market intervention.</w:t>
      </w:r>
    </w:p>
    <w:p w14:paraId="1C1E2C87" w14:textId="77777777" w:rsidR="00022915" w:rsidRPr="00D67FDF" w:rsidRDefault="00022915" w:rsidP="00022915">
      <w:pPr>
        <w:pStyle w:val="Heading3"/>
      </w:pPr>
      <w:r w:rsidRPr="00D67FDF">
        <w:t>The cost of litter</w:t>
      </w:r>
    </w:p>
    <w:p w14:paraId="4C9EF41C" w14:textId="77777777" w:rsidR="00022915" w:rsidRPr="007157AE" w:rsidRDefault="00022915" w:rsidP="00022915">
      <w:r w:rsidRPr="007157AE">
        <w:t>Litter is waste that is improperly disposed of outside of the regular disposal system. In an</w:t>
      </w:r>
      <w:r>
        <w:t> </w:t>
      </w:r>
      <w:r w:rsidRPr="007157AE">
        <w:t>economic context, it is best described as a side-effect of producing goods and services.</w:t>
      </w:r>
    </w:p>
    <w:p w14:paraId="0907B170" w14:textId="77777777" w:rsidR="00022915" w:rsidRPr="007157AE" w:rsidRDefault="00022915" w:rsidP="00022915">
      <w:r w:rsidRPr="007157AE">
        <w:t xml:space="preserve">The need for policy intervention </w:t>
      </w:r>
      <w:r>
        <w:t>to prevent</w:t>
      </w:r>
      <w:r w:rsidRPr="007157AE">
        <w:t xml:space="preserve"> littering arises because several social costs associated with littering are inadequately priced by the producers and consumers of beverage containers; that is, they are an externality. Consequently, those costs are borne by society and the clean-up costs are borne by ratepayers.</w:t>
      </w:r>
    </w:p>
    <w:p w14:paraId="072ED24F" w14:textId="77777777" w:rsidR="00022915" w:rsidRDefault="00022915" w:rsidP="00022915">
      <w:r>
        <w:t xml:space="preserve">The </w:t>
      </w:r>
      <w:r w:rsidRPr="007157AE">
        <w:t xml:space="preserve">costs </w:t>
      </w:r>
      <w:r>
        <w:t xml:space="preserve">of littering that are imposed </w:t>
      </w:r>
      <w:r w:rsidRPr="007157AE">
        <w:t>on the economy and community</w:t>
      </w:r>
      <w:r>
        <w:t xml:space="preserve"> include</w:t>
      </w:r>
      <w:r w:rsidRPr="007157AE">
        <w:t>:</w:t>
      </w:r>
    </w:p>
    <w:p w14:paraId="2A46D227" w14:textId="77777777" w:rsidR="00022915" w:rsidRPr="006C2A98" w:rsidRDefault="00022915" w:rsidP="00022915">
      <w:pPr>
        <w:pStyle w:val="Bullets1stindent"/>
        <w:rPr>
          <w:rStyle w:val="Italic"/>
        </w:rPr>
      </w:pPr>
      <w:r w:rsidRPr="006C2A98">
        <w:rPr>
          <w:rStyle w:val="Italic"/>
        </w:rPr>
        <w:t>Economic costs</w:t>
      </w:r>
    </w:p>
    <w:p w14:paraId="79F8F782" w14:textId="77777777" w:rsidR="00022915" w:rsidRPr="008D5196" w:rsidRDefault="00022915" w:rsidP="00022915">
      <w:pPr>
        <w:pStyle w:val="Indent1"/>
      </w:pPr>
      <w:r>
        <w:t xml:space="preserve">The Western Australian </w:t>
      </w:r>
      <w:r w:rsidRPr="007265D3">
        <w:rPr>
          <w:i/>
        </w:rPr>
        <w:t>Litter Prevention Strategy 2015-2020</w:t>
      </w:r>
      <w:r>
        <w:t xml:space="preserve"> identifies</w:t>
      </w:r>
      <w:r w:rsidRPr="008D5196">
        <w:t xml:space="preserve"> </w:t>
      </w:r>
      <w:r>
        <w:t>that in 2001 s</w:t>
      </w:r>
      <w:r w:rsidRPr="008D5196">
        <w:t xml:space="preserve">tate and local governments </w:t>
      </w:r>
      <w:r w:rsidRPr="00FC1BBF">
        <w:t>spent approximately $16 million</w:t>
      </w:r>
      <w:r w:rsidRPr="008D5196">
        <w:t xml:space="preserve"> a year on cleaning up litter</w:t>
      </w:r>
      <w:r>
        <w:t xml:space="preserve"> in Western Australia and </w:t>
      </w:r>
      <w:r w:rsidRPr="008D5196">
        <w:t>estimate</w:t>
      </w:r>
      <w:r>
        <w:t>d</w:t>
      </w:r>
      <w:r w:rsidRPr="008D5196">
        <w:t xml:space="preserve"> that clean</w:t>
      </w:r>
      <w:r>
        <w:noBreakHyphen/>
      </w:r>
      <w:r w:rsidRPr="008D5196">
        <w:t xml:space="preserve">up costs </w:t>
      </w:r>
      <w:r>
        <w:t>had</w:t>
      </w:r>
      <w:r w:rsidRPr="008D5196">
        <w:t xml:space="preserve"> significantly increased during the </w:t>
      </w:r>
      <w:r>
        <w:t>intervening period</w:t>
      </w:r>
      <w:r w:rsidRPr="008D5196">
        <w:t>. This is money that could be spent on other things.</w:t>
      </w:r>
    </w:p>
    <w:p w14:paraId="5F3C3228" w14:textId="77777777" w:rsidR="00022915" w:rsidRPr="006C2A98" w:rsidRDefault="00022915" w:rsidP="00022915">
      <w:pPr>
        <w:pStyle w:val="Bullets1stindent"/>
        <w:rPr>
          <w:rStyle w:val="Italic"/>
        </w:rPr>
      </w:pPr>
      <w:r w:rsidRPr="006C2A98">
        <w:rPr>
          <w:rStyle w:val="Italic"/>
        </w:rPr>
        <w:t>Environmental damage</w:t>
      </w:r>
    </w:p>
    <w:p w14:paraId="235D1328" w14:textId="77777777" w:rsidR="00022915" w:rsidRPr="007157AE" w:rsidRDefault="00022915" w:rsidP="00022915">
      <w:pPr>
        <w:pStyle w:val="Indent1"/>
      </w:pPr>
      <w:r w:rsidRPr="007157AE">
        <w:t>Litter damages natural environments and harms terrestrial and riverine wildlife</w:t>
      </w:r>
      <w:r>
        <w:t xml:space="preserve"> as well as the marine environment</w:t>
      </w:r>
      <w:r w:rsidRPr="007157AE">
        <w:t>.</w:t>
      </w:r>
    </w:p>
    <w:p w14:paraId="44B4AB37" w14:textId="77777777" w:rsidR="00022915" w:rsidRPr="006C2A98" w:rsidRDefault="00022915" w:rsidP="00022915">
      <w:pPr>
        <w:pStyle w:val="Bullets1stindent"/>
        <w:rPr>
          <w:rStyle w:val="Italic"/>
        </w:rPr>
      </w:pPr>
      <w:r w:rsidRPr="006C2A98">
        <w:rPr>
          <w:rStyle w:val="Italic"/>
        </w:rPr>
        <w:t>Visual costs</w:t>
      </w:r>
    </w:p>
    <w:p w14:paraId="621933F8" w14:textId="77777777" w:rsidR="00022915" w:rsidRPr="007157AE" w:rsidRDefault="00022915" w:rsidP="00022915">
      <w:pPr>
        <w:pStyle w:val="Indent1"/>
      </w:pPr>
      <w:r w:rsidRPr="007157AE">
        <w:t xml:space="preserve">Litter </w:t>
      </w:r>
      <w:r>
        <w:t>is</w:t>
      </w:r>
      <w:r w:rsidRPr="007157AE">
        <w:t xml:space="preserve"> unsightly and attracts more litter</w:t>
      </w:r>
      <w:r>
        <w:t>, adversely affecting amenity and the environment.</w:t>
      </w:r>
    </w:p>
    <w:p w14:paraId="7BEBACDF" w14:textId="77777777" w:rsidR="00022915" w:rsidRPr="00B65325" w:rsidRDefault="00022915" w:rsidP="00022915">
      <w:pPr>
        <w:pStyle w:val="Bullets1stindent"/>
        <w:ind w:left="357" w:hanging="357"/>
        <w:rPr>
          <w:rStyle w:val="Italic"/>
        </w:rPr>
      </w:pPr>
      <w:r w:rsidRPr="00B65325">
        <w:rPr>
          <w:rStyle w:val="Italic"/>
        </w:rPr>
        <w:t>Human costs</w:t>
      </w:r>
    </w:p>
    <w:p w14:paraId="1B53E9EA" w14:textId="77777777" w:rsidR="00022915" w:rsidRPr="007157AE" w:rsidRDefault="00022915" w:rsidP="00022915">
      <w:pPr>
        <w:pStyle w:val="Indent1"/>
      </w:pPr>
      <w:r w:rsidRPr="007157AE">
        <w:t>Litter such as broken glass can injure people. The presence of litter makes it more likely that other antisocial behaviours will occur, such as graffiti and property damage.</w:t>
      </w:r>
    </w:p>
    <w:p w14:paraId="7D417611" w14:textId="77777777" w:rsidR="00022915" w:rsidRPr="00B65325" w:rsidRDefault="00022915" w:rsidP="00022915">
      <w:pPr>
        <w:pStyle w:val="Bullets1stindent"/>
        <w:keepNext/>
        <w:ind w:left="357" w:hanging="357"/>
        <w:rPr>
          <w:rStyle w:val="Italic"/>
        </w:rPr>
      </w:pPr>
      <w:r w:rsidRPr="00B65325">
        <w:rPr>
          <w:rStyle w:val="Italic"/>
        </w:rPr>
        <w:t>Resource costs</w:t>
      </w:r>
    </w:p>
    <w:p w14:paraId="535B75FE" w14:textId="77777777" w:rsidR="00022915" w:rsidRPr="007157AE" w:rsidRDefault="00022915" w:rsidP="00022915">
      <w:pPr>
        <w:pStyle w:val="Indent1"/>
      </w:pPr>
      <w:r w:rsidRPr="007157AE">
        <w:t>Easily recyclable and valuable resources, such as beverage containers, are lost when people litter. Even if littered items are subsequently collected, they are often too contaminated to be recycled.</w:t>
      </w:r>
    </w:p>
    <w:p w14:paraId="76CA6903" w14:textId="77777777" w:rsidR="00022915" w:rsidRPr="001207F7" w:rsidRDefault="00022915" w:rsidP="00022915">
      <w:r w:rsidRPr="001207F7">
        <w:t>The cost of litter removal to minimise harm is borne largely by the</w:t>
      </w:r>
      <w:r>
        <w:t xml:space="preserve"> Western Australian </w:t>
      </w:r>
      <w:r w:rsidRPr="001207F7">
        <w:t xml:space="preserve">Government, as well as volunteer community groups. Importantly, the costs of littering are not borne by producers of packaged goods, except to a limited extent, and those producers do not have a direct incentive to design their packaging to minimise its impact when littered. This is an example of a market failure. </w:t>
      </w:r>
    </w:p>
    <w:p w14:paraId="4E2B8CD4" w14:textId="77777777" w:rsidR="00022915" w:rsidRPr="00D67FDF" w:rsidRDefault="00022915" w:rsidP="00022915">
      <w:pPr>
        <w:pStyle w:val="Heading3"/>
      </w:pPr>
      <w:r w:rsidRPr="00D67FDF">
        <w:t>Beverage container litter in Western Australia</w:t>
      </w:r>
    </w:p>
    <w:p w14:paraId="77C67ADA" w14:textId="77777777" w:rsidR="00022915" w:rsidRDefault="00022915" w:rsidP="00022915">
      <w:r w:rsidRPr="00544D7B">
        <w:t xml:space="preserve">The National Litter Index found that beverage containers make up the largest </w:t>
      </w:r>
      <w:r w:rsidRPr="007F4585">
        <w:t>proportion (</w:t>
      </w:r>
      <w:r>
        <w:t>45 per cent</w:t>
      </w:r>
      <w:r w:rsidRPr="007F4585">
        <w:t>) of litter volume in</w:t>
      </w:r>
      <w:r>
        <w:t xml:space="preserve"> Western Australia</w:t>
      </w:r>
      <w:r w:rsidRPr="007F4585">
        <w:t xml:space="preserve"> (</w:t>
      </w:r>
      <w:r w:rsidRPr="007F4585">
        <w:fldChar w:fldCharType="begin"/>
      </w:r>
      <w:r w:rsidRPr="007F4585">
        <w:instrText xml:space="preserve"> REF _Ref479273301 \h  \* MERGEFORMAT </w:instrText>
      </w:r>
      <w:r w:rsidRPr="007F4585">
        <w:fldChar w:fldCharType="separate"/>
      </w:r>
      <w:r w:rsidRPr="00DD6533">
        <w:t xml:space="preserve">Figure </w:t>
      </w:r>
      <w:r>
        <w:rPr>
          <w:noProof/>
        </w:rPr>
        <w:t>1</w:t>
      </w:r>
      <w:r w:rsidRPr="007F4585">
        <w:fldChar w:fldCharType="end"/>
      </w:r>
      <w:r w:rsidRPr="007F4585">
        <w:t>)</w:t>
      </w:r>
      <w:r>
        <w:t xml:space="preserve"> over the period from 2010 to 2016</w:t>
      </w:r>
      <w:r w:rsidRPr="007F4585">
        <w:t>.</w:t>
      </w:r>
    </w:p>
    <w:p w14:paraId="1463F53C" w14:textId="77777777" w:rsidR="00022915" w:rsidRPr="00DD6533" w:rsidRDefault="00022915" w:rsidP="00022915">
      <w:pPr>
        <w:pStyle w:val="Caption"/>
      </w:pPr>
      <w:bookmarkStart w:id="32" w:name="_Ref479273301"/>
      <w:bookmarkStart w:id="33" w:name="_Toc10031202"/>
      <w:bookmarkStart w:id="34" w:name="_Toc479850391"/>
      <w:r w:rsidRPr="00DD6533">
        <w:t xml:space="preserve">Figure </w:t>
      </w:r>
      <w:r w:rsidR="00CF34D3">
        <w:rPr>
          <w:noProof/>
        </w:rPr>
        <w:fldChar w:fldCharType="begin"/>
      </w:r>
      <w:r w:rsidR="00CF34D3">
        <w:rPr>
          <w:noProof/>
        </w:rPr>
        <w:instrText xml:space="preserve"> SEQ Figure \* ARABIC </w:instrText>
      </w:r>
      <w:r w:rsidR="00CF34D3">
        <w:rPr>
          <w:noProof/>
        </w:rPr>
        <w:fldChar w:fldCharType="separate"/>
      </w:r>
      <w:r>
        <w:rPr>
          <w:noProof/>
        </w:rPr>
        <w:t>1</w:t>
      </w:r>
      <w:r w:rsidR="00CF34D3">
        <w:rPr>
          <w:noProof/>
        </w:rPr>
        <w:fldChar w:fldCharType="end"/>
      </w:r>
      <w:bookmarkEnd w:id="32"/>
      <w:r w:rsidRPr="00DD6533">
        <w:t xml:space="preserve">: </w:t>
      </w:r>
      <w:r>
        <w:t>Volume of l</w:t>
      </w:r>
      <w:r w:rsidRPr="00DD6533">
        <w:t xml:space="preserve">itter in </w:t>
      </w:r>
      <w:r>
        <w:t>Western Australia</w:t>
      </w:r>
      <w:r w:rsidRPr="00DD6533">
        <w:t>, by category</w:t>
      </w:r>
      <w:bookmarkEnd w:id="33"/>
      <w:r w:rsidRPr="00DD6533">
        <w:t xml:space="preserve"> </w:t>
      </w:r>
      <w:bookmarkEnd w:id="34"/>
    </w:p>
    <w:p w14:paraId="59C3B1F9" w14:textId="77777777" w:rsidR="00022915" w:rsidRDefault="00022915" w:rsidP="00022915">
      <w:pPr>
        <w:pStyle w:val="ImprinttextSCT"/>
        <w:spacing w:line="240" w:lineRule="auto"/>
      </w:pPr>
      <w:r>
        <w:rPr>
          <w:noProof/>
          <w:lang w:eastAsia="en-AU"/>
        </w:rPr>
        <w:drawing>
          <wp:inline distT="0" distB="0" distL="0" distR="0" wp14:anchorId="431407E4" wp14:editId="727F7DC2">
            <wp:extent cx="5760000" cy="4456800"/>
            <wp:effectExtent l="0" t="0" r="0" b="1270"/>
            <wp:docPr id="3" name="Picture 3" descr="Pie Graph showing volumes of litter in WA by categories:&#10;Beverage containers = 45%&#10;Takeaway Food = 14%&#10;Other packaging and cigarette butts = 9%&#10;General waste = 13%&#10;Illegal disposal =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4456800"/>
                    </a:xfrm>
                    <a:prstGeom prst="rect">
                      <a:avLst/>
                    </a:prstGeom>
                    <a:noFill/>
                  </pic:spPr>
                </pic:pic>
              </a:graphicData>
            </a:graphic>
          </wp:inline>
        </w:drawing>
      </w:r>
    </w:p>
    <w:p w14:paraId="438F799E" w14:textId="77777777" w:rsidR="00022915" w:rsidRPr="00CE16FD" w:rsidRDefault="00022915" w:rsidP="00022915">
      <w:pPr>
        <w:pStyle w:val="DWERSource"/>
      </w:pPr>
      <w:r w:rsidRPr="00CE16FD">
        <w:t xml:space="preserve">Source: </w:t>
      </w:r>
      <w:r w:rsidRPr="00CE16FD">
        <w:rPr>
          <w:i/>
        </w:rPr>
        <w:t>Analysis of national litter index data</w:t>
      </w:r>
      <w:r w:rsidRPr="00CE16FD">
        <w:t>, November 2010 to May 2016</w:t>
      </w:r>
    </w:p>
    <w:p w14:paraId="72398C45" w14:textId="77777777" w:rsidR="00022915" w:rsidRPr="007F4585" w:rsidRDefault="00022915" w:rsidP="00022915">
      <w:r w:rsidRPr="007F4585">
        <w:t>Beverage container litter in</w:t>
      </w:r>
      <w:r>
        <w:t xml:space="preserve"> Western Australia </w:t>
      </w:r>
      <w:r w:rsidRPr="007F4585">
        <w:t xml:space="preserve">is a function of beverage container consumption and the rate at which used containers are </w:t>
      </w:r>
      <w:r>
        <w:t xml:space="preserve">not </w:t>
      </w:r>
      <w:r w:rsidRPr="007F4585">
        <w:t>litter</w:t>
      </w:r>
      <w:r>
        <w:t>ed</w:t>
      </w:r>
      <w:r w:rsidRPr="007F4585">
        <w:t>.</w:t>
      </w:r>
    </w:p>
    <w:p w14:paraId="24C72629" w14:textId="77777777" w:rsidR="00022915" w:rsidRPr="0038379E" w:rsidRDefault="00022915" w:rsidP="00022915">
      <w:bookmarkStart w:id="35" w:name="_Hlk510688183"/>
      <w:r>
        <w:t>It is estimated that a</w:t>
      </w:r>
      <w:r w:rsidRPr="00013DCD">
        <w:t xml:space="preserve">pproximately 1,800 million beverage containers </w:t>
      </w:r>
      <w:r>
        <w:t>were</w:t>
      </w:r>
      <w:r w:rsidRPr="00013DCD">
        <w:t xml:space="preserve"> used in</w:t>
      </w:r>
      <w:r>
        <w:t xml:space="preserve"> Western Australia </w:t>
      </w:r>
      <w:r w:rsidRPr="00013DCD">
        <w:t xml:space="preserve">in 2017, </w:t>
      </w:r>
      <w:r>
        <w:t>using</w:t>
      </w:r>
      <w:r w:rsidRPr="00013DCD">
        <w:t xml:space="preserve"> </w:t>
      </w:r>
      <w:r>
        <w:t>around</w:t>
      </w:r>
      <w:r w:rsidRPr="00013DCD">
        <w:t xml:space="preserve"> 156</w:t>
      </w:r>
      <w:r>
        <w:t>,000</w:t>
      </w:r>
      <w:r w:rsidRPr="00013DCD">
        <w:t> tonnes of container packaging</w:t>
      </w:r>
      <w:bookmarkEnd w:id="35"/>
      <w:r w:rsidRPr="00013DCD">
        <w:t>.</w:t>
      </w:r>
      <w:r w:rsidRPr="00013DCD">
        <w:rPr>
          <w:rStyle w:val="FootnoteReference"/>
        </w:rPr>
        <w:footnoteReference w:id="8"/>
      </w:r>
      <w:r w:rsidRPr="00013DCD">
        <w:rPr>
          <w:rStyle w:val="FootnoteReference"/>
        </w:rPr>
        <w:t xml:space="preserve"> </w:t>
      </w:r>
      <w:r w:rsidRPr="00013DCD">
        <w:t xml:space="preserve">Of those containers, </w:t>
      </w:r>
      <w:r>
        <w:t xml:space="preserve">it is estimated that </w:t>
      </w:r>
      <w:r w:rsidRPr="00013DCD">
        <w:t>690 million (38</w:t>
      </w:r>
      <w:r>
        <w:t> per cent</w:t>
      </w:r>
      <w:r w:rsidRPr="00013DCD">
        <w:t>) are likely to have been recycled, 1,050 million (58</w:t>
      </w:r>
      <w:r w:rsidRPr="00DD6533">
        <w:t xml:space="preserve"> </w:t>
      </w:r>
      <w:r>
        <w:t>per cent</w:t>
      </w:r>
      <w:r w:rsidRPr="00013DCD">
        <w:t xml:space="preserve">) ended up in landfill, and </w:t>
      </w:r>
      <w:r>
        <w:t>the rest</w:t>
      </w:r>
      <w:r w:rsidRPr="00013DCD">
        <w:t xml:space="preserve"> </w:t>
      </w:r>
      <w:r>
        <w:t>(</w:t>
      </w:r>
      <w:r w:rsidRPr="00013DCD">
        <w:t>80 million</w:t>
      </w:r>
      <w:r>
        <w:t>, four</w:t>
      </w:r>
      <w:r w:rsidRPr="00DD6533">
        <w:t xml:space="preserve"> </w:t>
      </w:r>
      <w:r>
        <w:t>per cent</w:t>
      </w:r>
      <w:r w:rsidRPr="00013DCD">
        <w:t>) are likely to have directly entered the litter stream.</w:t>
      </w:r>
      <w:r w:rsidRPr="00013DCD">
        <w:rPr>
          <w:rStyle w:val="FootnoteReference"/>
        </w:rPr>
        <w:footnoteReference w:id="9"/>
      </w:r>
    </w:p>
    <w:p w14:paraId="070FA660" w14:textId="77777777" w:rsidR="00022915" w:rsidRPr="0038379E" w:rsidRDefault="00022915" w:rsidP="00022915">
      <w:r>
        <w:t>W</w:t>
      </w:r>
      <w:r w:rsidRPr="0038379E">
        <w:t>hile most beverage containers are disposed of appropriately, the extremely large number of containers used results in a significant litter problem. Allowing for the</w:t>
      </w:r>
      <w:r>
        <w:t> </w:t>
      </w:r>
      <w:r w:rsidRPr="0038379E">
        <w:t xml:space="preserve">continuation and stabilisation of trends in litter reduction evidenced in recent years, analysis </w:t>
      </w:r>
      <w:r>
        <w:t>by Marsden Jacob for this report estimates</w:t>
      </w:r>
      <w:r w:rsidRPr="0038379E">
        <w:t xml:space="preserve"> that more than 3.1 billion additional beverage containers will have entered the litter stream by the end of 2036.</w:t>
      </w:r>
    </w:p>
    <w:p w14:paraId="7E6E5C2E" w14:textId="77777777" w:rsidR="00022915" w:rsidRPr="0038379E" w:rsidRDefault="00022915" w:rsidP="00022915">
      <w:r w:rsidRPr="0038379E">
        <w:t>In 2006, the Productivity Commission’s Inquiry into Waste Management found that</w:t>
      </w:r>
      <w:r>
        <w:t xml:space="preserve"> (</w:t>
      </w:r>
      <w:r w:rsidRPr="005A2960">
        <w:t>P</w:t>
      </w:r>
      <w:r>
        <w:t>C 2006, Finding 8.5, p. xlix)</w:t>
      </w:r>
      <w:r w:rsidRPr="0038379E">
        <w:t>:</w:t>
      </w:r>
    </w:p>
    <w:p w14:paraId="6AD35076" w14:textId="77777777" w:rsidR="00022915" w:rsidRPr="00395604" w:rsidRDefault="00022915" w:rsidP="00022915">
      <w:pPr>
        <w:ind w:left="720"/>
        <w:rPr>
          <w:i/>
        </w:rPr>
      </w:pPr>
      <w:r w:rsidRPr="00395604">
        <w:rPr>
          <w:i/>
        </w:rPr>
        <w:t>Regulation and enforcement for litter and illegal dumping are necessary but not sufficient to achieve the best result for the community. Accompanying measures, such as education, community involvement and moral suasion, can make regulation more effective.</w:t>
      </w:r>
    </w:p>
    <w:p w14:paraId="47C2B388" w14:textId="77777777" w:rsidR="00022915" w:rsidRPr="0038379E" w:rsidRDefault="00022915" w:rsidP="00022915">
      <w:r w:rsidRPr="0038379E">
        <w:t>Littering is likely to continue to be an ongoing problem that is best addressed using a range of policy initiatives.</w:t>
      </w:r>
    </w:p>
    <w:p w14:paraId="136E3B34" w14:textId="77777777" w:rsidR="00022915" w:rsidRDefault="00022915" w:rsidP="00022915">
      <w:pPr>
        <w:pStyle w:val="Heading2"/>
      </w:pPr>
      <w:bookmarkStart w:id="36" w:name="_Toc509917088"/>
      <w:bookmarkStart w:id="37" w:name="_Toc500154245"/>
      <w:bookmarkStart w:id="38" w:name="_Toc9375363"/>
      <w:bookmarkEnd w:id="36"/>
      <w:r>
        <w:t xml:space="preserve">Beverage container disposal in </w:t>
      </w:r>
      <w:bookmarkEnd w:id="37"/>
      <w:r>
        <w:t>Western Australia</w:t>
      </w:r>
      <w:bookmarkEnd w:id="38"/>
    </w:p>
    <w:p w14:paraId="06E208B8" w14:textId="77777777" w:rsidR="00022915" w:rsidRPr="0038379E" w:rsidRDefault="00022915" w:rsidP="00022915">
      <w:r>
        <w:t xml:space="preserve">The contents of </w:t>
      </w:r>
      <w:r w:rsidRPr="0038379E">
        <w:t>approximately 1,8</w:t>
      </w:r>
      <w:r>
        <w:t>00</w:t>
      </w:r>
      <w:r w:rsidRPr="0038379E">
        <w:t xml:space="preserve"> million beverage containers are consumed each year in </w:t>
      </w:r>
      <w:r>
        <w:t>Western Australia</w:t>
      </w:r>
      <w:r w:rsidRPr="0038379E">
        <w:t>.</w:t>
      </w:r>
    </w:p>
    <w:p w14:paraId="2875319E" w14:textId="77777777" w:rsidR="00022915" w:rsidRDefault="00022915" w:rsidP="00022915">
      <w:r w:rsidRPr="0038379E">
        <w:t xml:space="preserve">Based on information from other states, </w:t>
      </w:r>
      <w:r>
        <w:t>between</w:t>
      </w:r>
      <w:r w:rsidRPr="0038379E">
        <w:t xml:space="preserve"> 20</w:t>
      </w:r>
      <w:r>
        <w:t xml:space="preserve"> and 3</w:t>
      </w:r>
      <w:r w:rsidRPr="0038379E">
        <w:t>0</w:t>
      </w:r>
      <w:r>
        <w:t xml:space="preserve"> per cent of these containers are </w:t>
      </w:r>
      <w:r w:rsidRPr="0038379E">
        <w:t>consumed away from home (</w:t>
      </w:r>
      <w:r>
        <w:t>that is, up to 540</w:t>
      </w:r>
      <w:r w:rsidRPr="0038379E">
        <w:t> million containers</w:t>
      </w:r>
      <w:r>
        <w:t>).</w:t>
      </w:r>
    </w:p>
    <w:p w14:paraId="32FD4BC6" w14:textId="77777777" w:rsidR="00022915" w:rsidRDefault="00022915" w:rsidP="00022915">
      <w:r>
        <w:t>Previous analysis by Marsden Jacob Associates found that containers that are consumed away from home are more likely to either become litter or be disposed of to landfill (MJA, </w:t>
      </w:r>
      <w:r w:rsidRPr="005D0A96">
        <w:t>2013)</w:t>
      </w:r>
      <w:r>
        <w:t>. Reasons for this include the fact that litter bins tend to result in highly contaminated litter streams – which therefore go to landfill.</w:t>
      </w:r>
    </w:p>
    <w:p w14:paraId="3A50A872" w14:textId="77777777" w:rsidR="00022915" w:rsidRDefault="00022915" w:rsidP="00022915">
      <w:pPr>
        <w:pStyle w:val="Heading2"/>
      </w:pPr>
      <w:bookmarkStart w:id="39" w:name="_Toc509917090"/>
      <w:bookmarkStart w:id="40" w:name="_Ref536607963"/>
      <w:bookmarkStart w:id="41" w:name="_Toc9375364"/>
      <w:bookmarkStart w:id="42" w:name="_Toc500154246"/>
      <w:bookmarkEnd w:id="39"/>
      <w:r>
        <w:t>Requirement for a Regulatory Impact Statement</w:t>
      </w:r>
      <w:bookmarkEnd w:id="40"/>
      <w:bookmarkEnd w:id="41"/>
      <w:r>
        <w:t xml:space="preserve"> </w:t>
      </w:r>
    </w:p>
    <w:p w14:paraId="435AFC20" w14:textId="77777777" w:rsidR="00022915" w:rsidRPr="00EA1549" w:rsidRDefault="00022915" w:rsidP="00022915">
      <w:pPr>
        <w:rPr>
          <w:bCs/>
        </w:rPr>
      </w:pPr>
      <w:r w:rsidRPr="0037350F">
        <w:t>The</w:t>
      </w:r>
      <w:r>
        <w:t xml:space="preserve"> Western Australian </w:t>
      </w:r>
      <w:r w:rsidRPr="0037350F">
        <w:t>CDS require</w:t>
      </w:r>
      <w:r>
        <w:t>d</w:t>
      </w:r>
      <w:r w:rsidRPr="0037350F">
        <w:t xml:space="preserve"> an amendment to the </w:t>
      </w:r>
      <w:r w:rsidRPr="0037350F">
        <w:rPr>
          <w:i/>
        </w:rPr>
        <w:t xml:space="preserve">Waste Avoidance and Resource Recovery Act 2007 </w:t>
      </w:r>
      <w:r w:rsidRPr="0037350F">
        <w:t>(</w:t>
      </w:r>
      <w:r w:rsidRPr="0083027F">
        <w:t>WARR Act)</w:t>
      </w:r>
      <w:r>
        <w:t xml:space="preserve"> </w:t>
      </w:r>
      <w:r w:rsidRPr="0037350F">
        <w:t xml:space="preserve">and its regulations.  </w:t>
      </w:r>
      <w:r>
        <w:t xml:space="preserve">The </w:t>
      </w:r>
      <w:r w:rsidRPr="00EA1549">
        <w:rPr>
          <w:i/>
        </w:rPr>
        <w:t>Waste Avoidance and Resource Recovery Amendment (Container Deposit) Act 2019</w:t>
      </w:r>
      <w:r>
        <w:rPr>
          <w:i/>
        </w:rPr>
        <w:t xml:space="preserve"> </w:t>
      </w:r>
      <w:r>
        <w:t>was passed on 13 March 2019.</w:t>
      </w:r>
      <w:r>
        <w:rPr>
          <w:rStyle w:val="FootnoteReference"/>
        </w:rPr>
        <w:footnoteReference w:id="10"/>
      </w:r>
      <w:r>
        <w:t xml:space="preserve">  These legislative changes trigger the need for a Regulatory Impact Statement (RIS) in line with the </w:t>
      </w:r>
      <w:r w:rsidRPr="00BD5687">
        <w:rPr>
          <w:i/>
        </w:rPr>
        <w:t xml:space="preserve">Regulatory Impact Assessment guidelines for </w:t>
      </w:r>
      <w:r>
        <w:rPr>
          <w:i/>
        </w:rPr>
        <w:t xml:space="preserve">Western Australia </w:t>
      </w:r>
      <w:r>
        <w:t xml:space="preserve">(DTF, 2010). </w:t>
      </w:r>
    </w:p>
    <w:p w14:paraId="148721E2" w14:textId="77777777" w:rsidR="00022915" w:rsidRDefault="00022915" w:rsidP="00022915">
      <w:r>
        <w:t xml:space="preserve">In addition, the CDS will require an exemption under the </w:t>
      </w:r>
      <w:r w:rsidRPr="00D04F7C">
        <w:rPr>
          <w:i/>
        </w:rPr>
        <w:t>Mutual Recognition Act 1992</w:t>
      </w:r>
      <w:r w:rsidRPr="00D04F7C">
        <w:t xml:space="preserve"> (Cwlth</w:t>
      </w:r>
      <w:r w:rsidRPr="0083027F">
        <w:t>) (MR Act) and the</w:t>
      </w:r>
      <w:r w:rsidRPr="0083027F">
        <w:rPr>
          <w:i/>
        </w:rPr>
        <w:t xml:space="preserve"> Trans-Tasman Mutual Recognition Act 1997</w:t>
      </w:r>
      <w:r w:rsidRPr="0083027F">
        <w:t xml:space="preserve"> (Cwlth) (TTMR Act), as set out below.  For that to occur, a RIS is required for consideration by the Council of Australian Governments (COAG).</w:t>
      </w:r>
    </w:p>
    <w:p w14:paraId="1F2B8ECE" w14:textId="77777777" w:rsidR="00022915" w:rsidRPr="00B65303" w:rsidRDefault="00022915" w:rsidP="00022915">
      <w:r w:rsidRPr="00F65853">
        <w:t xml:space="preserve">This Decision RIS </w:t>
      </w:r>
      <w:r>
        <w:t xml:space="preserve">(and the previous </w:t>
      </w:r>
      <w:r w:rsidRPr="00F65853">
        <w:t>Consultation RIS</w:t>
      </w:r>
      <w:r>
        <w:t>)</w:t>
      </w:r>
      <w:r w:rsidRPr="00F65853">
        <w:t>, aim</w:t>
      </w:r>
      <w:r>
        <w:t xml:space="preserve"> to fulfil the requirements of both regulatory bodies.  </w:t>
      </w:r>
    </w:p>
    <w:p w14:paraId="6512350C" w14:textId="77777777" w:rsidR="00022915" w:rsidRPr="00D67FDF" w:rsidRDefault="00022915" w:rsidP="00022915">
      <w:pPr>
        <w:pStyle w:val="Heading3"/>
      </w:pPr>
      <w:r w:rsidRPr="00D67FDF">
        <w:t>Mutual recognition principles</w:t>
      </w:r>
      <w:bookmarkEnd w:id="42"/>
    </w:p>
    <w:p w14:paraId="068A00C1" w14:textId="77777777" w:rsidR="00022915" w:rsidRPr="004E6690" w:rsidRDefault="00022915" w:rsidP="00022915">
      <w:r w:rsidRPr="00D04F7C">
        <w:t xml:space="preserve">The </w:t>
      </w:r>
      <w:r>
        <w:t xml:space="preserve">MR Act </w:t>
      </w:r>
      <w:r w:rsidRPr="00D04F7C">
        <w:t xml:space="preserve">and the </w:t>
      </w:r>
      <w:r>
        <w:t>TTMR Act</w:t>
      </w:r>
      <w:r w:rsidRPr="00D04F7C">
        <w:t xml:space="preserve"> apply as laws of</w:t>
      </w:r>
      <w:r>
        <w:t xml:space="preserve"> Western Australia </w:t>
      </w:r>
      <w:r w:rsidRPr="00D04F7C">
        <w:t xml:space="preserve">by virtue of the </w:t>
      </w:r>
      <w:r w:rsidRPr="00BD5687">
        <w:rPr>
          <w:i/>
        </w:rPr>
        <w:t>Mutual Recognition (WA) Act 2010</w:t>
      </w:r>
      <w:r w:rsidRPr="00D04F7C">
        <w:t xml:space="preserve"> and the </w:t>
      </w:r>
      <w:r w:rsidRPr="00BD5687">
        <w:rPr>
          <w:i/>
        </w:rPr>
        <w:t>Trans-Tasman Mutual Recognition (WA) Act</w:t>
      </w:r>
      <w:r>
        <w:rPr>
          <w:i/>
        </w:rPr>
        <w:t> </w:t>
      </w:r>
      <w:r w:rsidRPr="00BD5687">
        <w:rPr>
          <w:i/>
        </w:rPr>
        <w:t>2007</w:t>
      </w:r>
      <w:r w:rsidRPr="00D04F7C">
        <w:t xml:space="preserve">, </w:t>
      </w:r>
      <w:r w:rsidRPr="004E6690">
        <w:t>respectively.</w:t>
      </w:r>
    </w:p>
    <w:p w14:paraId="774B9519" w14:textId="77777777" w:rsidR="00022915" w:rsidRDefault="00022915" w:rsidP="00022915">
      <w:r w:rsidRPr="004E6690">
        <w:t>In relation to goods, the MR</w:t>
      </w:r>
      <w:r>
        <w:t> Act</w:t>
      </w:r>
      <w:r w:rsidRPr="004E6690">
        <w:t xml:space="preserve"> and TTMR</w:t>
      </w:r>
      <w:r>
        <w:t> Act</w:t>
      </w:r>
      <w:r w:rsidRPr="004E6690">
        <w:t xml:space="preserve"> apply the ‘mutual recognition principle’. The principle, as explained in s</w:t>
      </w:r>
      <w:r>
        <w:t>ection </w:t>
      </w:r>
      <w:r w:rsidRPr="004E6690">
        <w:t>9 of the MR</w:t>
      </w:r>
      <w:r>
        <w:t> Act</w:t>
      </w:r>
      <w:r w:rsidRPr="004E6690">
        <w:t>, provides that goods produced in or imported into one state, that may be lawfully sold in that state, may, by virtue of the</w:t>
      </w:r>
      <w:r>
        <w:t> </w:t>
      </w:r>
      <w:r w:rsidRPr="004E6690">
        <w:t>MR</w:t>
      </w:r>
      <w:r>
        <w:t> Act</w:t>
      </w:r>
      <w:r w:rsidRPr="004E6690">
        <w:t xml:space="preserve">, be sold in another state. </w:t>
      </w:r>
    </w:p>
    <w:p w14:paraId="29A3C7A2" w14:textId="77777777" w:rsidR="00022915" w:rsidRPr="004E6690" w:rsidRDefault="00022915" w:rsidP="00022915">
      <w:r w:rsidRPr="004E6690">
        <w:t>The Trans-Tasman mutual recognition principle</w:t>
      </w:r>
      <w:r>
        <w:t>,</w:t>
      </w:r>
      <w:r w:rsidRPr="004E6690">
        <w:t xml:space="preserve"> as explained in s</w:t>
      </w:r>
      <w:r>
        <w:t>ection </w:t>
      </w:r>
      <w:r w:rsidRPr="004E6690">
        <w:t>10 of the TTMR</w:t>
      </w:r>
      <w:r>
        <w:t> Act,</w:t>
      </w:r>
      <w:r w:rsidRPr="004E6690">
        <w:t xml:space="preserve"> is that goods produced in or imported into New</w:t>
      </w:r>
      <w:r>
        <w:t> </w:t>
      </w:r>
      <w:r w:rsidRPr="004E6690">
        <w:t>Zealand, that may be lawfully sold in New Zealand, may by virtue of the TTMR</w:t>
      </w:r>
      <w:r>
        <w:t> Act</w:t>
      </w:r>
      <w:r w:rsidRPr="004E6690">
        <w:t xml:space="preserve"> be lawfully sold in an Australian jurisdiction.</w:t>
      </w:r>
    </w:p>
    <w:p w14:paraId="0B2E6CE5" w14:textId="77777777" w:rsidR="00022915" w:rsidRPr="0037350F" w:rsidRDefault="00022915" w:rsidP="00022915">
      <w:r w:rsidRPr="004E6690">
        <w:t>These</w:t>
      </w:r>
      <w:r>
        <w:t xml:space="preserve"> Act</w:t>
      </w:r>
      <w:r w:rsidRPr="004E6690">
        <w:t>s provide that sales of goods to which the principle applies do not require compliance with ‘further requirements’ of a type set out in the Acts that might otherwise be required under the laws of the importing jurisdiction. Th</w:t>
      </w:r>
      <w:r>
        <w:t>ose requirements inc</w:t>
      </w:r>
      <w:r w:rsidRPr="004E6690">
        <w:t xml:space="preserve">lude </w:t>
      </w:r>
      <w:r w:rsidRPr="0037350F">
        <w:t>quality or performance standards, inspection requirements and labelling standards.</w:t>
      </w:r>
    </w:p>
    <w:p w14:paraId="0F1434E8" w14:textId="77777777" w:rsidR="00022915" w:rsidRPr="0037350F" w:rsidRDefault="00022915" w:rsidP="00022915">
      <w:r w:rsidRPr="0037350F">
        <w:t xml:space="preserve">The amendments to the </w:t>
      </w:r>
      <w:r w:rsidRPr="001965C8">
        <w:t>WARR Act</w:t>
      </w:r>
      <w:r w:rsidRPr="0037350F">
        <w:rPr>
          <w:i/>
        </w:rPr>
        <w:t xml:space="preserve"> </w:t>
      </w:r>
      <w:r w:rsidRPr="0037350F">
        <w:t>will include a requirement that all eligible beverages sold in</w:t>
      </w:r>
      <w:r>
        <w:t xml:space="preserve"> Western Australia </w:t>
      </w:r>
      <w:r w:rsidRPr="0037350F">
        <w:t xml:space="preserve">carry a label that meets the requirements prescribed in the regulations.  Further, beverage suppliers will need to obtain an approval for their beverage containers and suppliers </w:t>
      </w:r>
      <w:r>
        <w:t>that</w:t>
      </w:r>
      <w:r w:rsidRPr="0037350F">
        <w:t xml:space="preserve"> bring containers into</w:t>
      </w:r>
      <w:r>
        <w:t xml:space="preserve"> Western Australia </w:t>
      </w:r>
      <w:r w:rsidRPr="0037350F">
        <w:t>will need to enter into a supply arrangement with the CDS scheme coordinator appointed by the</w:t>
      </w:r>
      <w:r>
        <w:t> </w:t>
      </w:r>
      <w:r w:rsidRPr="0037350F">
        <w:t xml:space="preserve">Government. These requirements, and some other elements of the scheme, may be considered to impose ‘further requirements’ under the MR Act or TTMR Act. </w:t>
      </w:r>
      <w:r>
        <w:t xml:space="preserve"> </w:t>
      </w:r>
      <w:r w:rsidRPr="0037350F">
        <w:t>For this reason, an exemption is required under the MR Act and TTMR Act.</w:t>
      </w:r>
    </w:p>
    <w:p w14:paraId="153E661A" w14:textId="77777777" w:rsidR="00022915" w:rsidRPr="004E6690" w:rsidRDefault="00022915" w:rsidP="00022915">
      <w:r w:rsidRPr="0037350F">
        <w:t>The</w:t>
      </w:r>
      <w:r>
        <w:t>se</w:t>
      </w:r>
      <w:r w:rsidRPr="0037350F">
        <w:t xml:space="preserve"> </w:t>
      </w:r>
      <w:r>
        <w:t xml:space="preserve">Acts </w:t>
      </w:r>
      <w:r w:rsidRPr="0037350F">
        <w:t>provi</w:t>
      </w:r>
      <w:r>
        <w:t>de</w:t>
      </w:r>
      <w:r w:rsidRPr="0037350F">
        <w:t xml:space="preserve"> for</w:t>
      </w:r>
      <w:r w:rsidRPr="004E6690">
        <w:t xml:space="preserve"> specific goods or laws to be permanently exempted from their scope by their inclusion in schedules to the MR</w:t>
      </w:r>
      <w:r>
        <w:t> Act</w:t>
      </w:r>
      <w:r w:rsidRPr="004E6690">
        <w:t xml:space="preserve"> or TTMR</w:t>
      </w:r>
      <w:r>
        <w:t> Act</w:t>
      </w:r>
      <w:r w:rsidRPr="004E6690">
        <w:t>. The process for adding permanent exemptions requires the relevant ministerial council to seek the unanimous agreement of the COAG to the exemption, the making of regulations by the Commonwealth to amend the relevant schedules to the MR</w:t>
      </w:r>
      <w:r>
        <w:t xml:space="preserve"> Act and the </w:t>
      </w:r>
      <w:r w:rsidRPr="004E6690">
        <w:t>TTMR</w:t>
      </w:r>
      <w:r>
        <w:t> Act</w:t>
      </w:r>
      <w:r w:rsidRPr="004E6690">
        <w:t xml:space="preserve"> and the prior signification of consent to the amendments by all jurisdictions by </w:t>
      </w:r>
      <w:r>
        <w:t>G</w:t>
      </w:r>
      <w:r w:rsidRPr="004E6690">
        <w:t>azette notice.</w:t>
      </w:r>
    </w:p>
    <w:p w14:paraId="15DFA14E" w14:textId="77777777" w:rsidR="00022915" w:rsidRDefault="00022915" w:rsidP="00022915">
      <w:r w:rsidRPr="004E6690">
        <w:t xml:space="preserve">The permanent exemption of </w:t>
      </w:r>
      <w:r>
        <w:t xml:space="preserve">the Western Australian </w:t>
      </w:r>
      <w:r w:rsidRPr="004E6690">
        <w:t>CDS under the</w:t>
      </w:r>
      <w:r w:rsidRPr="00D1198C">
        <w:t xml:space="preserve"> MR</w:t>
      </w:r>
      <w:r>
        <w:t> Act</w:t>
      </w:r>
      <w:r w:rsidRPr="00D1198C">
        <w:t xml:space="preserve"> would follow the precedent set by the Northern Territory CDS, which was exempted in 2013</w:t>
      </w:r>
      <w:r>
        <w:t xml:space="preserve">, the New South Wales CDS, which was exempted in November 2017 and the </w:t>
      </w:r>
      <w:r w:rsidRPr="005C186E">
        <w:t>Australian Capital Territory</w:t>
      </w:r>
      <w:r w:rsidRPr="009C1AFB">
        <w:t xml:space="preserve"> </w:t>
      </w:r>
      <w:r>
        <w:t>which was exempted in December 2018</w:t>
      </w:r>
      <w:r w:rsidRPr="00D1198C">
        <w:t>.</w:t>
      </w:r>
      <w:r w:rsidDel="00051929">
        <w:rPr>
          <w:rStyle w:val="FootnoteReference"/>
        </w:rPr>
        <w:t xml:space="preserve"> </w:t>
      </w:r>
    </w:p>
    <w:p w14:paraId="3F3BE71B" w14:textId="77777777" w:rsidR="00022915" w:rsidRPr="005C186E" w:rsidRDefault="00022915" w:rsidP="00022915">
      <w:r w:rsidRPr="005C186E">
        <w:t>It is noted that the Australian Capital Territory has a permanent exemption under the</w:t>
      </w:r>
      <w:r>
        <w:t> </w:t>
      </w:r>
      <w:r w:rsidRPr="005C186E">
        <w:t xml:space="preserve">TTMR Act, </w:t>
      </w:r>
      <w:r>
        <w:t xml:space="preserve">while </w:t>
      </w:r>
      <w:r w:rsidRPr="005C186E">
        <w:t>New South Wales and Queensland do not.  However, these jurisdictions have a temporary exemption under the TTMR Act, and</w:t>
      </w:r>
      <w:r>
        <w:t xml:space="preserve"> this</w:t>
      </w:r>
      <w:r w:rsidRPr="005C186E">
        <w:t xml:space="preserve"> Act (unlike the</w:t>
      </w:r>
      <w:r>
        <w:t> </w:t>
      </w:r>
      <w:r w:rsidRPr="005C186E">
        <w:t xml:space="preserve">MR Act) allows a temporary exemption to be renewed.  </w:t>
      </w:r>
    </w:p>
    <w:p w14:paraId="781DD25E" w14:textId="77777777" w:rsidR="00022915" w:rsidRPr="005C186E" w:rsidRDefault="00022915" w:rsidP="00022915">
      <w:r w:rsidRPr="005C186E">
        <w:t xml:space="preserve">Ideally a permanent exemption under </w:t>
      </w:r>
      <w:r>
        <w:t xml:space="preserve">the </w:t>
      </w:r>
      <w:r w:rsidRPr="005C186E">
        <w:t>TTMR Act would be implemented for Western</w:t>
      </w:r>
      <w:r>
        <w:t> </w:t>
      </w:r>
      <w:r w:rsidRPr="005C186E">
        <w:t>Australia, as this would provide regulatory certainty and better aligns with the</w:t>
      </w:r>
      <w:r>
        <w:t> </w:t>
      </w:r>
      <w:r w:rsidRPr="005C186E">
        <w:t>identified features of good regulation.</w:t>
      </w:r>
      <w:r w:rsidRPr="005C186E">
        <w:rPr>
          <w:rStyle w:val="FootnoteReference"/>
        </w:rPr>
        <w:footnoteReference w:id="11"/>
      </w:r>
      <w:r w:rsidRPr="005C186E">
        <w:t xml:space="preserve">  </w:t>
      </w:r>
    </w:p>
    <w:p w14:paraId="2B1C5F01" w14:textId="77777777" w:rsidR="00022915" w:rsidRPr="005C186E" w:rsidRDefault="00022915" w:rsidP="00022915">
      <w:r w:rsidRPr="005C186E">
        <w:t>If an exemption (temporary or permanent) is not applied under the TTMR Act (or a temporary exemption were to lapse) then beverages imported from New Zealand would be excluded from the CDS - which would have a number of undesirable impacts.  For example, the exclusion of beverages bottled in New Zealand would:</w:t>
      </w:r>
    </w:p>
    <w:p w14:paraId="7A7570C4" w14:textId="77777777" w:rsidR="00022915" w:rsidRPr="005C186E" w:rsidRDefault="00022915" w:rsidP="00022915">
      <w:pPr>
        <w:pStyle w:val="Bullets1stindent"/>
      </w:pPr>
      <w:r w:rsidRPr="005C186E">
        <w:t>cause confusion for the public and the industry, as no refund would be payable for these beverage containers; and</w:t>
      </w:r>
    </w:p>
    <w:p w14:paraId="06741361" w14:textId="77777777" w:rsidR="00022915" w:rsidRPr="005C186E" w:rsidRDefault="00022915" w:rsidP="00022915">
      <w:pPr>
        <w:pStyle w:val="Bullets1stindent"/>
      </w:pPr>
      <w:r w:rsidRPr="005C186E">
        <w:t>distort the competitive market for beverages and beverage bottling, as New Zealand products would not include a deposit or handling fee – making these products cheaper to purchase.</w:t>
      </w:r>
    </w:p>
    <w:p w14:paraId="2E18339A" w14:textId="77777777" w:rsidR="00022915" w:rsidRDefault="00022915" w:rsidP="00022915">
      <w:pPr>
        <w:pStyle w:val="Heading2"/>
      </w:pPr>
      <w:bookmarkStart w:id="43" w:name="_Toc509917092"/>
      <w:bookmarkStart w:id="44" w:name="_Toc500154247"/>
      <w:bookmarkStart w:id="45" w:name="_Ref531861249"/>
      <w:bookmarkStart w:id="46" w:name="_Ref536607966"/>
      <w:bookmarkStart w:id="47" w:name="_Toc9375365"/>
      <w:bookmarkEnd w:id="43"/>
      <w:r>
        <w:t>Scope of the proposed mutual recognition exemption</w:t>
      </w:r>
      <w:bookmarkEnd w:id="44"/>
      <w:bookmarkEnd w:id="45"/>
      <w:bookmarkEnd w:id="46"/>
      <w:bookmarkEnd w:id="47"/>
    </w:p>
    <w:p w14:paraId="718059BC" w14:textId="77777777" w:rsidR="00022915" w:rsidRPr="004A5CC0" w:rsidRDefault="00022915" w:rsidP="00022915">
      <w:r w:rsidRPr="004A5CC0">
        <w:t>The wording of the exemption is yet to be determined, but the exemption would apply to:</w:t>
      </w:r>
    </w:p>
    <w:p w14:paraId="63FF6360" w14:textId="77777777" w:rsidR="00022915" w:rsidRPr="004A5CC0" w:rsidRDefault="00022915" w:rsidP="00022915">
      <w:pPr>
        <w:pStyle w:val="Bullets1stindent"/>
      </w:pPr>
      <w:r w:rsidRPr="0083027F">
        <w:t>the relevant parts of the</w:t>
      </w:r>
      <w:r w:rsidRPr="001965C8">
        <w:t xml:space="preserve"> WARR Act</w:t>
      </w:r>
      <w:r w:rsidRPr="004A5CC0">
        <w:t>;</w:t>
      </w:r>
    </w:p>
    <w:p w14:paraId="5794513C" w14:textId="77777777" w:rsidR="00022915" w:rsidRPr="004A5CC0" w:rsidRDefault="00022915" w:rsidP="00022915">
      <w:pPr>
        <w:pStyle w:val="Bullets1stindent"/>
      </w:pPr>
      <w:r w:rsidRPr="004A5CC0">
        <w:t>all other provisions of that</w:t>
      </w:r>
      <w:r>
        <w:t> Act</w:t>
      </w:r>
      <w:r w:rsidRPr="004A5CC0">
        <w:t xml:space="preserve">, to the extent that they relate to the </w:t>
      </w:r>
      <w:r>
        <w:t>CDS</w:t>
      </w:r>
      <w:r w:rsidRPr="004A5CC0">
        <w:t xml:space="preserve"> established by that part; and </w:t>
      </w:r>
    </w:p>
    <w:p w14:paraId="6FFD5232" w14:textId="77777777" w:rsidR="00022915" w:rsidRPr="004A5CC0" w:rsidRDefault="00022915" w:rsidP="00022915">
      <w:pPr>
        <w:pStyle w:val="Bullets1stindent"/>
      </w:pPr>
      <w:r w:rsidRPr="004A5CC0">
        <w:t>regulations made under that Act, to the extent that they relate to that scheme.</w:t>
      </w:r>
    </w:p>
    <w:p w14:paraId="64473B7A" w14:textId="77777777" w:rsidR="00022915" w:rsidRDefault="00022915" w:rsidP="00022915">
      <w:pPr>
        <w:pStyle w:val="Heading1"/>
      </w:pPr>
      <w:bookmarkStart w:id="48" w:name="_Toc509917094"/>
      <w:bookmarkStart w:id="49" w:name="_Toc500154248"/>
      <w:bookmarkStart w:id="50" w:name="_Ref536612689"/>
      <w:bookmarkStart w:id="51" w:name="_Ref536613632"/>
      <w:bookmarkStart w:id="52" w:name="_Toc9375366"/>
      <w:bookmarkEnd w:id="48"/>
      <w:r>
        <w:t>Objectives of government action</w:t>
      </w:r>
      <w:bookmarkEnd w:id="49"/>
      <w:bookmarkEnd w:id="50"/>
      <w:bookmarkEnd w:id="51"/>
      <w:bookmarkEnd w:id="52"/>
    </w:p>
    <w:p w14:paraId="1BC1A624" w14:textId="77777777" w:rsidR="00022915" w:rsidRDefault="00022915" w:rsidP="00022915">
      <w:r>
        <w:t>The Western Australian CDS discussion paper (DWER 2017a) stated that the objectives of the Western Australian Government action were to:</w:t>
      </w:r>
    </w:p>
    <w:p w14:paraId="6F0F7F5A" w14:textId="77777777" w:rsidR="00022915" w:rsidRDefault="00022915" w:rsidP="00022915">
      <w:pPr>
        <w:pStyle w:val="Bullets1stindent"/>
      </w:pPr>
      <w:r>
        <w:t xml:space="preserve">reduce litter; </w:t>
      </w:r>
    </w:p>
    <w:p w14:paraId="40959C74" w14:textId="77777777" w:rsidR="00022915" w:rsidRDefault="00022915" w:rsidP="00022915">
      <w:pPr>
        <w:pStyle w:val="Bullets1stindent"/>
      </w:pPr>
      <w:r>
        <w:t xml:space="preserve">increase recycling rates; </w:t>
      </w:r>
    </w:p>
    <w:p w14:paraId="469FD240" w14:textId="77777777" w:rsidR="00022915" w:rsidRDefault="00022915" w:rsidP="00022915">
      <w:pPr>
        <w:pStyle w:val="Bullets1stindent"/>
      </w:pPr>
      <w:r>
        <w:t xml:space="preserve">protect the environment; and </w:t>
      </w:r>
    </w:p>
    <w:p w14:paraId="7C51BF5B" w14:textId="77777777" w:rsidR="00022915" w:rsidRDefault="00022915" w:rsidP="00022915">
      <w:pPr>
        <w:pStyle w:val="Bullets1stindent"/>
      </w:pPr>
      <w:r>
        <w:t xml:space="preserve">help engage the community in active and positive recycling behaviours. </w:t>
      </w:r>
    </w:p>
    <w:p w14:paraId="67270BA7" w14:textId="77777777" w:rsidR="00022915" w:rsidRDefault="00022915" w:rsidP="00022915">
      <w:r>
        <w:t xml:space="preserve">Since the publication of the Consultation RIS, the objectives have been expanded to now include additional detail.  The expanded objectives of the Western Australian Government action are to: </w:t>
      </w:r>
    </w:p>
    <w:p w14:paraId="5FF700C6" w14:textId="77777777" w:rsidR="00022915" w:rsidRDefault="00022915" w:rsidP="00022915">
      <w:pPr>
        <w:pStyle w:val="Bullets1stindent"/>
      </w:pPr>
      <w:r>
        <w:t>increase the recovery and recycling of empty beverage containers; and</w:t>
      </w:r>
    </w:p>
    <w:p w14:paraId="21E5967B" w14:textId="77777777" w:rsidR="00022915" w:rsidRDefault="00022915" w:rsidP="00022915">
      <w:pPr>
        <w:pStyle w:val="Bullets1stindent"/>
      </w:pPr>
      <w:r>
        <w:t xml:space="preserve">reduce the number of empty beverage containers that are disposed of as litter or to landfill; </w:t>
      </w:r>
      <w:r w:rsidRPr="00B832AF">
        <w:t>and</w:t>
      </w:r>
    </w:p>
    <w:p w14:paraId="7FCAAB65" w14:textId="77777777" w:rsidR="00022915" w:rsidRPr="00463E2D" w:rsidRDefault="00022915" w:rsidP="00022915">
      <w:pPr>
        <w:pStyle w:val="Bullets1stindent"/>
      </w:pPr>
      <w:r w:rsidRPr="00463E2D">
        <w:t xml:space="preserve">ensure that </w:t>
      </w:r>
      <w:r>
        <w:t>first responsible suppliers</w:t>
      </w:r>
      <w:r w:rsidRPr="00463E2D">
        <w:t xml:space="preserve"> of beverage products </w:t>
      </w:r>
      <w:r>
        <w:t>take</w:t>
      </w:r>
      <w:r w:rsidRPr="00463E2D">
        <w:t xml:space="preserve"> product stewardship responsibility in relation to their beverage products; </w:t>
      </w:r>
      <w:r w:rsidRPr="00B832AF">
        <w:t>and</w:t>
      </w:r>
    </w:p>
    <w:p w14:paraId="1D1E432C" w14:textId="77777777" w:rsidR="00022915" w:rsidRDefault="00022915" w:rsidP="00022915">
      <w:pPr>
        <w:pStyle w:val="Bullets1stindent"/>
      </w:pPr>
      <w:r>
        <w:t xml:space="preserve">provide opportunities for social enterprise, and benefits for community organisations, through participation in the container deposit scheme; </w:t>
      </w:r>
      <w:r w:rsidRPr="00B832AF">
        <w:t>and</w:t>
      </w:r>
    </w:p>
    <w:p w14:paraId="2D039DAB" w14:textId="77777777" w:rsidR="00022915" w:rsidRDefault="00022915" w:rsidP="00022915">
      <w:pPr>
        <w:pStyle w:val="Bullets1stindent"/>
      </w:pPr>
      <w:r>
        <w:t xml:space="preserve">create opportunities for employment; and </w:t>
      </w:r>
    </w:p>
    <w:p w14:paraId="7EC462D0" w14:textId="77777777" w:rsidR="00022915" w:rsidRDefault="00022915" w:rsidP="00022915">
      <w:pPr>
        <w:pStyle w:val="Bullets1stindent"/>
      </w:pPr>
      <w:r>
        <w:t>complement existing collection and recycling activities for recyclable waste.</w:t>
      </w:r>
    </w:p>
    <w:p w14:paraId="4F0FC085" w14:textId="77777777" w:rsidR="00022915" w:rsidRDefault="00022915" w:rsidP="00022915">
      <w:r>
        <w:t xml:space="preserve">A comparison of the original and revised objectives indicates that three of the revised objectives align completely with the original objectives – as shown in </w:t>
      </w:r>
      <w:r>
        <w:fldChar w:fldCharType="begin"/>
      </w:r>
      <w:r>
        <w:instrText xml:space="preserve"> REF _Ref8997290 \h </w:instrText>
      </w:r>
      <w:r>
        <w:fldChar w:fldCharType="separate"/>
      </w:r>
      <w:r>
        <w:t xml:space="preserve">Table </w:t>
      </w:r>
      <w:r>
        <w:rPr>
          <w:noProof/>
        </w:rPr>
        <w:t>1</w:t>
      </w:r>
      <w:r>
        <w:fldChar w:fldCharType="end"/>
      </w:r>
      <w:r>
        <w:t>.</w:t>
      </w:r>
    </w:p>
    <w:p w14:paraId="2A598B01" w14:textId="77777777" w:rsidR="00022915" w:rsidRDefault="00022915" w:rsidP="00022915">
      <w:pPr>
        <w:pStyle w:val="Caption"/>
      </w:pPr>
      <w:bookmarkStart w:id="53" w:name="_Ref8997290"/>
      <w:bookmarkStart w:id="54" w:name="_Toc10031210"/>
      <w:r>
        <w:t xml:space="preserve">Table </w:t>
      </w:r>
      <w:r w:rsidR="00CF34D3">
        <w:rPr>
          <w:noProof/>
        </w:rPr>
        <w:fldChar w:fldCharType="begin"/>
      </w:r>
      <w:r w:rsidR="00CF34D3">
        <w:rPr>
          <w:noProof/>
        </w:rPr>
        <w:instrText xml:space="preserve"> SEQ Table \* ARABIC </w:instrText>
      </w:r>
      <w:r w:rsidR="00CF34D3">
        <w:rPr>
          <w:noProof/>
        </w:rPr>
        <w:fldChar w:fldCharType="separate"/>
      </w:r>
      <w:r>
        <w:rPr>
          <w:noProof/>
        </w:rPr>
        <w:t>1</w:t>
      </w:r>
      <w:r w:rsidR="00CF34D3">
        <w:rPr>
          <w:noProof/>
        </w:rPr>
        <w:fldChar w:fldCharType="end"/>
      </w:r>
      <w:bookmarkEnd w:id="53"/>
      <w:r>
        <w:t>: Alignment of revised and amened objectives</w:t>
      </w:r>
      <w:bookmarkEnd w:id="54"/>
    </w:p>
    <w:tbl>
      <w:tblPr>
        <w:tblStyle w:val="TableGrid"/>
        <w:tblW w:w="0" w:type="auto"/>
        <w:tblLook w:val="04A0" w:firstRow="1" w:lastRow="0" w:firstColumn="1" w:lastColumn="0" w:noHBand="0" w:noVBand="1"/>
      </w:tblPr>
      <w:tblGrid>
        <w:gridCol w:w="4509"/>
        <w:gridCol w:w="4507"/>
      </w:tblGrid>
      <w:tr w:rsidR="00022915" w:rsidRPr="00D254E9" w14:paraId="32980C16" w14:textId="77777777" w:rsidTr="00C53AB1">
        <w:tc>
          <w:tcPr>
            <w:tcW w:w="4530" w:type="dxa"/>
          </w:tcPr>
          <w:p w14:paraId="4836734A" w14:textId="77777777" w:rsidR="00022915" w:rsidRPr="00D254E9" w:rsidRDefault="00022915" w:rsidP="00C53AB1">
            <w:pPr>
              <w:rPr>
                <w:b/>
              </w:rPr>
            </w:pPr>
            <w:r w:rsidRPr="00D254E9">
              <w:rPr>
                <w:b/>
              </w:rPr>
              <w:t>Revised objective</w:t>
            </w:r>
          </w:p>
        </w:tc>
        <w:tc>
          <w:tcPr>
            <w:tcW w:w="4530" w:type="dxa"/>
          </w:tcPr>
          <w:p w14:paraId="6BF1B41F" w14:textId="77777777" w:rsidR="00022915" w:rsidRPr="00D254E9" w:rsidRDefault="00022915" w:rsidP="00C53AB1">
            <w:pPr>
              <w:rPr>
                <w:b/>
              </w:rPr>
            </w:pPr>
            <w:r w:rsidRPr="00D254E9">
              <w:rPr>
                <w:b/>
              </w:rPr>
              <w:t xml:space="preserve">Original objective </w:t>
            </w:r>
          </w:p>
        </w:tc>
      </w:tr>
      <w:tr w:rsidR="00022915" w14:paraId="4B9B2DCD" w14:textId="77777777" w:rsidTr="00C53AB1">
        <w:tc>
          <w:tcPr>
            <w:tcW w:w="4530" w:type="dxa"/>
          </w:tcPr>
          <w:p w14:paraId="0E148787" w14:textId="77777777" w:rsidR="00022915" w:rsidRDefault="00022915" w:rsidP="00C53AB1">
            <w:r>
              <w:t>increase the recovery and recycling of empty beverage containers</w:t>
            </w:r>
          </w:p>
        </w:tc>
        <w:tc>
          <w:tcPr>
            <w:tcW w:w="4530" w:type="dxa"/>
          </w:tcPr>
          <w:p w14:paraId="44A01039" w14:textId="77777777" w:rsidR="00022915" w:rsidRDefault="00022915" w:rsidP="00C53AB1">
            <w:r>
              <w:t>increase recycling rates</w:t>
            </w:r>
          </w:p>
        </w:tc>
      </w:tr>
      <w:tr w:rsidR="00022915" w14:paraId="6F22D1EF" w14:textId="77777777" w:rsidTr="00C53AB1">
        <w:tc>
          <w:tcPr>
            <w:tcW w:w="4530" w:type="dxa"/>
          </w:tcPr>
          <w:p w14:paraId="1B38FC2C" w14:textId="77777777" w:rsidR="00022915" w:rsidRDefault="00022915" w:rsidP="00C53AB1">
            <w:r>
              <w:t>reduce the number of empty beverage containers that are disposed of as litter or to landfill</w:t>
            </w:r>
          </w:p>
        </w:tc>
        <w:tc>
          <w:tcPr>
            <w:tcW w:w="4530" w:type="dxa"/>
          </w:tcPr>
          <w:p w14:paraId="742EF0A2" w14:textId="77777777" w:rsidR="00022915" w:rsidRDefault="00022915" w:rsidP="00C53AB1">
            <w:pPr>
              <w:pStyle w:val="Bullets1stindent"/>
              <w:numPr>
                <w:ilvl w:val="0"/>
                <w:numId w:val="0"/>
              </w:numPr>
              <w:ind w:left="360" w:hanging="360"/>
            </w:pPr>
            <w:r>
              <w:t xml:space="preserve">reduce litter; </w:t>
            </w:r>
          </w:p>
          <w:p w14:paraId="47D27016" w14:textId="77777777" w:rsidR="00022915" w:rsidRDefault="00022915" w:rsidP="00C53AB1">
            <w:r>
              <w:t>increase recycling rates;</w:t>
            </w:r>
          </w:p>
        </w:tc>
      </w:tr>
      <w:tr w:rsidR="00022915" w14:paraId="47FE45F5" w14:textId="77777777" w:rsidTr="00C53AB1">
        <w:tc>
          <w:tcPr>
            <w:tcW w:w="4530" w:type="dxa"/>
          </w:tcPr>
          <w:p w14:paraId="25DCA4C7" w14:textId="77777777" w:rsidR="00022915" w:rsidRDefault="00022915" w:rsidP="00C53AB1">
            <w:r>
              <w:t xml:space="preserve">provide opportunities for social enterprise, and benefits for community organisations, through participation in the </w:t>
            </w:r>
            <w:r w:rsidRPr="00D16D36">
              <w:t xml:space="preserve">container deposit </w:t>
            </w:r>
            <w:r>
              <w:t>scheme</w:t>
            </w:r>
          </w:p>
        </w:tc>
        <w:tc>
          <w:tcPr>
            <w:tcW w:w="4530" w:type="dxa"/>
          </w:tcPr>
          <w:p w14:paraId="1CAA2FF3" w14:textId="77777777" w:rsidR="00022915" w:rsidRDefault="00022915" w:rsidP="00C53AB1">
            <w:r>
              <w:t>help engage the community in active and positive recycling behaviours</w:t>
            </w:r>
          </w:p>
        </w:tc>
      </w:tr>
    </w:tbl>
    <w:p w14:paraId="00CEA931" w14:textId="77777777" w:rsidR="00022915" w:rsidRDefault="00022915" w:rsidP="00022915"/>
    <w:p w14:paraId="133D6078" w14:textId="77777777" w:rsidR="00022915" w:rsidRPr="002A30D3" w:rsidRDefault="00022915" w:rsidP="00022915">
      <w:r w:rsidRPr="002A30D3">
        <w:t xml:space="preserve">The objectives </w:t>
      </w:r>
      <w:r>
        <w:t xml:space="preserve">were revised (and additional points and detail included) </w:t>
      </w:r>
      <w:r w:rsidRPr="002A30D3">
        <w:t xml:space="preserve">in response to </w:t>
      </w:r>
      <w:r>
        <w:t>input through</w:t>
      </w:r>
      <w:r w:rsidRPr="002A30D3">
        <w:t xml:space="preserve"> the Consultation </w:t>
      </w:r>
      <w:r>
        <w:t xml:space="preserve">RIS </w:t>
      </w:r>
      <w:r w:rsidRPr="002A30D3">
        <w:t xml:space="preserve">and the </w:t>
      </w:r>
      <w:r>
        <w:t xml:space="preserve">Ministerial </w:t>
      </w:r>
      <w:r w:rsidRPr="002A30D3">
        <w:t>Advisory Group</w:t>
      </w:r>
      <w:r>
        <w:t xml:space="preserve"> and</w:t>
      </w:r>
      <w:r w:rsidRPr="000A518C">
        <w:t xml:space="preserve"> </w:t>
      </w:r>
      <w:r w:rsidRPr="002A30D3">
        <w:t>Technical</w:t>
      </w:r>
      <w:r>
        <w:t xml:space="preserve"> Working Groups</w:t>
      </w:r>
      <w:r w:rsidRPr="002A30D3">
        <w:t>.</w:t>
      </w:r>
      <w:r>
        <w:rPr>
          <w:rStyle w:val="FootnoteReference"/>
        </w:rPr>
        <w:footnoteReference w:id="12"/>
      </w:r>
      <w:r w:rsidRPr="002A30D3">
        <w:t xml:space="preserve">  The more detailed objectives are included to:</w:t>
      </w:r>
    </w:p>
    <w:p w14:paraId="34AAA0C1" w14:textId="77777777" w:rsidR="00022915" w:rsidRPr="002A30D3" w:rsidRDefault="00022915" w:rsidP="00022915">
      <w:pPr>
        <w:pStyle w:val="Bullets1stindent"/>
      </w:pPr>
      <w:r w:rsidRPr="002A30D3">
        <w:t>facilitate the development of measurable indicators for the scheme;</w:t>
      </w:r>
      <w:r>
        <w:rPr>
          <w:rStyle w:val="FootnoteReference"/>
        </w:rPr>
        <w:footnoteReference w:id="13"/>
      </w:r>
    </w:p>
    <w:p w14:paraId="10E5E432" w14:textId="77777777" w:rsidR="00022915" w:rsidRPr="002A30D3" w:rsidRDefault="00022915" w:rsidP="00022915">
      <w:pPr>
        <w:pStyle w:val="Bullets1stindent"/>
      </w:pPr>
      <w:r w:rsidRPr="002A30D3">
        <w:t xml:space="preserve">align the objectives with </w:t>
      </w:r>
      <w:r>
        <w:t>the factors the scheme can directly affect;</w:t>
      </w:r>
      <w:r w:rsidRPr="002A30D3">
        <w:rPr>
          <w:rStyle w:val="FootnoteReference"/>
        </w:rPr>
        <w:footnoteReference w:id="14"/>
      </w:r>
      <w:r w:rsidRPr="002A30D3">
        <w:t xml:space="preserve"> </w:t>
      </w:r>
    </w:p>
    <w:p w14:paraId="5E70065A" w14:textId="77777777" w:rsidR="00022915" w:rsidRDefault="00022915" w:rsidP="00022915">
      <w:pPr>
        <w:pStyle w:val="Bullets1stindent"/>
      </w:pPr>
      <w:r w:rsidRPr="002A30D3">
        <w:t>align with the legal context of the scheme</w:t>
      </w:r>
      <w:r>
        <w:t xml:space="preserve"> (see </w:t>
      </w:r>
      <w:r>
        <w:fldChar w:fldCharType="begin"/>
      </w:r>
      <w:r>
        <w:instrText xml:space="preserve"> REF _Ref8996022 \h </w:instrText>
      </w:r>
      <w:r>
        <w:fldChar w:fldCharType="separate"/>
      </w:r>
      <w:r>
        <w:t xml:space="preserve">Box </w:t>
      </w:r>
      <w:r>
        <w:rPr>
          <w:noProof/>
        </w:rPr>
        <w:t>1</w:t>
      </w:r>
      <w:r>
        <w:fldChar w:fldCharType="end"/>
      </w:r>
      <w:r>
        <w:t xml:space="preserve"> below); </w:t>
      </w:r>
    </w:p>
    <w:p w14:paraId="0AB08506" w14:textId="77777777" w:rsidR="00022915" w:rsidRPr="002A30D3" w:rsidRDefault="00022915" w:rsidP="00022915">
      <w:pPr>
        <w:pStyle w:val="Bullets1stindent"/>
      </w:pPr>
      <w:r>
        <w:t>align the scheme with existing recycling programs to minimise duplication and disruption to existing services;</w:t>
      </w:r>
      <w:r>
        <w:rPr>
          <w:rStyle w:val="FootnoteReference"/>
        </w:rPr>
        <w:footnoteReference w:id="15"/>
      </w:r>
      <w:r>
        <w:t xml:space="preserve"> and </w:t>
      </w:r>
    </w:p>
    <w:p w14:paraId="30EBFC91" w14:textId="77777777" w:rsidR="00022915" w:rsidRDefault="00022915" w:rsidP="00022915">
      <w:pPr>
        <w:pStyle w:val="Bullets1stindent"/>
      </w:pPr>
      <w:r>
        <w:t>align</w:t>
      </w:r>
      <w:r w:rsidRPr="002A30D3">
        <w:t xml:space="preserve"> the scheme </w:t>
      </w:r>
      <w:r>
        <w:t>with</w:t>
      </w:r>
      <w:r w:rsidRPr="002A30D3">
        <w:t xml:space="preserve"> broader </w:t>
      </w:r>
      <w:r>
        <w:t>community objectives</w:t>
      </w:r>
      <w:r w:rsidRPr="002A30D3">
        <w:t>.</w:t>
      </w:r>
      <w:r>
        <w:rPr>
          <w:rStyle w:val="FootnoteReference"/>
        </w:rPr>
        <w:footnoteReference w:id="16"/>
      </w:r>
    </w:p>
    <w:p w14:paraId="684501CB" w14:textId="77777777" w:rsidR="00022915" w:rsidRDefault="00022915" w:rsidP="00022915"/>
    <w:p w14:paraId="3A62AEA6" w14:textId="77777777" w:rsidR="00022915" w:rsidRDefault="00022915" w:rsidP="00022915">
      <w:pPr>
        <w:pStyle w:val="Caption"/>
      </w:pPr>
      <w:bookmarkStart w:id="55" w:name="_Ref8996022"/>
      <w:r>
        <w:t xml:space="preserve">Box </w:t>
      </w:r>
      <w:r w:rsidR="00CF34D3">
        <w:rPr>
          <w:noProof/>
        </w:rPr>
        <w:fldChar w:fldCharType="begin"/>
      </w:r>
      <w:r w:rsidR="00CF34D3">
        <w:rPr>
          <w:noProof/>
        </w:rPr>
        <w:instrText xml:space="preserve"> SEQ Box \* ARABIC </w:instrText>
      </w:r>
      <w:r w:rsidR="00CF34D3">
        <w:rPr>
          <w:noProof/>
        </w:rPr>
        <w:fldChar w:fldCharType="separate"/>
      </w:r>
      <w:r>
        <w:rPr>
          <w:noProof/>
        </w:rPr>
        <w:t>1</w:t>
      </w:r>
      <w:r w:rsidR="00CF34D3">
        <w:rPr>
          <w:noProof/>
        </w:rPr>
        <w:fldChar w:fldCharType="end"/>
      </w:r>
      <w:bookmarkEnd w:id="55"/>
      <w:r>
        <w:t>: Legal context</w:t>
      </w:r>
    </w:p>
    <w:tbl>
      <w:tblPr>
        <w:tblStyle w:val="TableGrid"/>
        <w:tblW w:w="0" w:type="auto"/>
        <w:tblLook w:val="04A0" w:firstRow="1" w:lastRow="0" w:firstColumn="1" w:lastColumn="0" w:noHBand="0" w:noVBand="1"/>
      </w:tblPr>
      <w:tblGrid>
        <w:gridCol w:w="9016"/>
      </w:tblGrid>
      <w:tr w:rsidR="00022915" w14:paraId="72A0A018" w14:textId="77777777" w:rsidTr="00C53AB1">
        <w:tc>
          <w:tcPr>
            <w:tcW w:w="9060" w:type="dxa"/>
          </w:tcPr>
          <w:p w14:paraId="76D2F157" w14:textId="77777777" w:rsidR="00022915" w:rsidRDefault="00022915" w:rsidP="00C53AB1">
            <w:r>
              <w:t>Part 5 of the Waste Avoidance and Resource Recovery Act 2007 (WA) establishes a framework for product stewardship. An approved product stewardship plan means a plan in which the producers of a product — (a) share responsibility with governments and consumers for the environmental impact of the product throughout its use, including end of use management; and (b) seek to reduce the adverse environmental impact of the product. A product stewardship plan must specify —</w:t>
            </w:r>
          </w:p>
          <w:p w14:paraId="15818B0C" w14:textId="77777777" w:rsidR="00022915" w:rsidRDefault="00022915" w:rsidP="001F12B4">
            <w:pPr>
              <w:pStyle w:val="ListParagraph"/>
              <w:numPr>
                <w:ilvl w:val="0"/>
                <w:numId w:val="29"/>
              </w:numPr>
            </w:pPr>
            <w:r>
              <w:t>the products dealt with under the plan; and</w:t>
            </w:r>
          </w:p>
          <w:p w14:paraId="25C00954" w14:textId="77777777" w:rsidR="00022915" w:rsidRDefault="00022915" w:rsidP="001F12B4">
            <w:pPr>
              <w:pStyle w:val="ListParagraph"/>
              <w:numPr>
                <w:ilvl w:val="0"/>
                <w:numId w:val="29"/>
              </w:numPr>
            </w:pPr>
            <w:r>
              <w:t>targets and timeframes for avoidance, reduction, reuse or recycling of waste; and</w:t>
            </w:r>
          </w:p>
          <w:p w14:paraId="5332974F" w14:textId="77777777" w:rsidR="00022915" w:rsidRDefault="00022915" w:rsidP="001F12B4">
            <w:pPr>
              <w:pStyle w:val="ListParagraph"/>
              <w:numPr>
                <w:ilvl w:val="0"/>
                <w:numId w:val="29"/>
              </w:numPr>
            </w:pPr>
            <w:r>
              <w:t>the information that will be collected, assessed and audited to ascertain whether the targets and timeframes specified in the plan have been met; and</w:t>
            </w:r>
          </w:p>
          <w:p w14:paraId="56E38997" w14:textId="77777777" w:rsidR="00022915" w:rsidRDefault="00022915" w:rsidP="001F12B4">
            <w:pPr>
              <w:pStyle w:val="ListParagraph"/>
              <w:numPr>
                <w:ilvl w:val="0"/>
                <w:numId w:val="29"/>
              </w:numPr>
            </w:pPr>
            <w:r>
              <w:t>how the information will be made public; and</w:t>
            </w:r>
          </w:p>
          <w:p w14:paraId="7222422A" w14:textId="77777777" w:rsidR="00022915" w:rsidRDefault="00022915" w:rsidP="001F12B4">
            <w:pPr>
              <w:pStyle w:val="ListParagraph"/>
              <w:numPr>
                <w:ilvl w:val="0"/>
                <w:numId w:val="29"/>
              </w:numPr>
            </w:pPr>
            <w:r>
              <w:t>any other matter the producer or group of producers considers relevant.</w:t>
            </w:r>
          </w:p>
          <w:p w14:paraId="27513D12" w14:textId="77777777" w:rsidR="00022915" w:rsidRDefault="00022915" w:rsidP="00C53AB1">
            <w:pPr>
              <w:pStyle w:val="ListParagraph"/>
              <w:ind w:left="420"/>
            </w:pPr>
          </w:p>
        </w:tc>
      </w:tr>
    </w:tbl>
    <w:p w14:paraId="172AC0A4" w14:textId="77777777" w:rsidR="00022915" w:rsidRDefault="00022915" w:rsidP="00022915"/>
    <w:p w14:paraId="5E2D1A3C" w14:textId="77777777" w:rsidR="00022915" w:rsidRDefault="00022915" w:rsidP="00022915">
      <w:r w:rsidRPr="00263AEE">
        <w:t xml:space="preserve">The revised objectives </w:t>
      </w:r>
      <w:r>
        <w:t>are</w:t>
      </w:r>
      <w:r w:rsidRPr="00263AEE">
        <w:t xml:space="preserve"> consistent with the objectives from the CDS discussion paper and complement the Western Australian </w:t>
      </w:r>
      <w:r w:rsidRPr="000C31B8">
        <w:rPr>
          <w:i/>
        </w:rPr>
        <w:t>Waste Strategy and Litter Prevention Strategy</w:t>
      </w:r>
      <w:r w:rsidRPr="00263AEE">
        <w:t>.</w:t>
      </w:r>
      <w:r>
        <w:rPr>
          <w:rStyle w:val="FootnoteReference"/>
        </w:rPr>
        <w:footnoteReference w:id="17"/>
      </w:r>
      <w:r>
        <w:t xml:space="preserve">  </w:t>
      </w:r>
    </w:p>
    <w:p w14:paraId="035454A8" w14:textId="77777777" w:rsidR="00022915" w:rsidRDefault="00022915" w:rsidP="00022915">
      <w:r w:rsidRPr="00D1198C">
        <w:t xml:space="preserve">The CDS </w:t>
      </w:r>
      <w:r>
        <w:t xml:space="preserve">has also been designed to </w:t>
      </w:r>
      <w:r w:rsidRPr="00D1198C">
        <w:t xml:space="preserve">support the achievement of the </w:t>
      </w:r>
      <w:r>
        <w:t xml:space="preserve">strategic objectives in the </w:t>
      </w:r>
      <w:r w:rsidRPr="00B51517">
        <w:t>waste strategy</w:t>
      </w:r>
      <w:r>
        <w:t xml:space="preserve"> </w:t>
      </w:r>
      <w:r w:rsidRPr="00F138C3">
        <w:rPr>
          <w:i/>
        </w:rPr>
        <w:t>Waste Avoidance and Resource Recovery Strategy 2030</w:t>
      </w:r>
      <w:r>
        <w:t>.</w:t>
      </w:r>
      <w:r>
        <w:rPr>
          <w:rStyle w:val="FootnoteReference"/>
        </w:rPr>
        <w:footnoteReference w:id="18"/>
      </w:r>
      <w:r>
        <w:t xml:space="preserve">  The strategy’s objectives are to: </w:t>
      </w:r>
    </w:p>
    <w:p w14:paraId="554050E0" w14:textId="77777777" w:rsidR="00022915" w:rsidRDefault="00022915" w:rsidP="00022915">
      <w:pPr>
        <w:pStyle w:val="Bullets1stindent"/>
      </w:pPr>
      <w:r>
        <w:t>Avoid: Western Australians generate less waste;</w:t>
      </w:r>
    </w:p>
    <w:p w14:paraId="1F6B82C9" w14:textId="77777777" w:rsidR="00022915" w:rsidRDefault="00022915" w:rsidP="00022915">
      <w:pPr>
        <w:pStyle w:val="Bullets1stindent"/>
      </w:pPr>
      <w:r>
        <w:t>Recover: Western Australians recover more value and resources from waste; and</w:t>
      </w:r>
    </w:p>
    <w:p w14:paraId="7A852897" w14:textId="77777777" w:rsidR="00022915" w:rsidRPr="00B51517" w:rsidRDefault="00022915" w:rsidP="00022915">
      <w:pPr>
        <w:pStyle w:val="Bullets1stindent"/>
      </w:pPr>
      <w:r>
        <w:t>Protect: Western Australians protect the environment by managing waste responsibly.</w:t>
      </w:r>
    </w:p>
    <w:p w14:paraId="6173254F" w14:textId="77777777" w:rsidR="00022915" w:rsidRDefault="00022915" w:rsidP="00022915">
      <w:r>
        <w:t xml:space="preserve">Additionally, efforts have been made to ensure that key elements of the CDS are aligned with other jurisdictions to simplify implementation; address competition and constitutional issues; reduce costs to industry; and provide consumers with a consistent experience.  </w:t>
      </w:r>
    </w:p>
    <w:p w14:paraId="196B3CAA" w14:textId="77777777" w:rsidR="00022915" w:rsidRDefault="00022915" w:rsidP="00022915">
      <w:r>
        <w:t xml:space="preserve">The </w:t>
      </w:r>
      <w:r w:rsidRPr="003C61A2">
        <w:rPr>
          <w:i/>
        </w:rPr>
        <w:t>Waste Avoidance and Resource Recovery Amendment (Container Deposit) Act 2019</w:t>
      </w:r>
      <w:r>
        <w:rPr>
          <w:i/>
        </w:rPr>
        <w:t xml:space="preserve"> </w:t>
      </w:r>
      <w:r>
        <w:t>was passed on 13 March 2019. Key features of the Western Australian CDS that align with existing schemes include:</w:t>
      </w:r>
    </w:p>
    <w:p w14:paraId="42030DFD" w14:textId="77777777" w:rsidR="00022915" w:rsidRDefault="00022915" w:rsidP="00022915">
      <w:pPr>
        <w:pStyle w:val="Bullets1stindent"/>
      </w:pPr>
      <w:r>
        <w:t>the types of containers that are eligible for refunds;</w:t>
      </w:r>
    </w:p>
    <w:p w14:paraId="0A3C80A6" w14:textId="77777777" w:rsidR="00022915" w:rsidRDefault="00022915" w:rsidP="00022915">
      <w:pPr>
        <w:pStyle w:val="Bullets1stindent"/>
      </w:pPr>
      <w:r>
        <w:t>the types of containers that are excluded from the CDS;</w:t>
      </w:r>
    </w:p>
    <w:p w14:paraId="4E201CB2" w14:textId="77777777" w:rsidR="00022915" w:rsidRDefault="00022915" w:rsidP="00022915">
      <w:pPr>
        <w:pStyle w:val="Bullets1stindent"/>
      </w:pPr>
      <w:r>
        <w:t>the refund amount; and</w:t>
      </w:r>
    </w:p>
    <w:p w14:paraId="40F9C1F0" w14:textId="77777777" w:rsidR="00022915" w:rsidRDefault="00022915" w:rsidP="00022915">
      <w:pPr>
        <w:pStyle w:val="Bullets1stindent"/>
      </w:pPr>
      <w:r>
        <w:t>the need for a refund mark to identify eligible containers.</w:t>
      </w:r>
    </w:p>
    <w:p w14:paraId="4891F5E5" w14:textId="77777777" w:rsidR="00022915" w:rsidRDefault="00022915" w:rsidP="00022915">
      <w:pPr>
        <w:pStyle w:val="Heading1"/>
      </w:pPr>
      <w:bookmarkStart w:id="56" w:name="_Toc500154249"/>
      <w:bookmarkStart w:id="57" w:name="_Toc9375367"/>
      <w:r>
        <w:t>Options to address the problem</w:t>
      </w:r>
      <w:bookmarkEnd w:id="56"/>
      <w:bookmarkEnd w:id="57"/>
    </w:p>
    <w:p w14:paraId="229326A3" w14:textId="77777777" w:rsidR="00022915" w:rsidRDefault="00022915" w:rsidP="00022915">
      <w:pPr>
        <w:rPr>
          <w:lang w:eastAsia="en-AU"/>
        </w:rPr>
      </w:pPr>
      <w:bookmarkStart w:id="58" w:name="_Toc500154250"/>
      <w:r w:rsidRPr="003D79D5">
        <w:t>Through the policy development and consultation processes, the</w:t>
      </w:r>
      <w:r>
        <w:t xml:space="preserve"> Western Australian </w:t>
      </w:r>
      <w:r w:rsidRPr="003D79D5">
        <w:t xml:space="preserve">Government identified and assessed a range of options </w:t>
      </w:r>
      <w:r>
        <w:t>to</w:t>
      </w:r>
      <w:r w:rsidRPr="003D79D5">
        <w:t xml:space="preserve"> </w:t>
      </w:r>
      <w:r>
        <w:rPr>
          <w:lang w:eastAsia="en-AU"/>
        </w:rPr>
        <w:t xml:space="preserve">reduce the prevalence of beverage containers in </w:t>
      </w:r>
      <w:r w:rsidRPr="009F6052">
        <w:rPr>
          <w:lang w:eastAsia="en-AU"/>
        </w:rPr>
        <w:t xml:space="preserve">litter </w:t>
      </w:r>
      <w:r>
        <w:rPr>
          <w:lang w:eastAsia="en-AU"/>
        </w:rPr>
        <w:t>and landfill and increase the recovery of resources through recycling.</w:t>
      </w:r>
    </w:p>
    <w:p w14:paraId="023E09E5" w14:textId="77777777" w:rsidR="00022915" w:rsidRDefault="00022915" w:rsidP="00022915">
      <w:r>
        <w:t>By choosing a CDS that aligns closely with the schemes recently introduced in New South Wales, Queensland and the Australian Capital Territory (as well as the existing schemes in South Australia and Northern Territory), Western Australia has sought to minimise the costs to the beverage industry and avoid confusion for both industry and consumers.</w:t>
      </w:r>
    </w:p>
    <w:p w14:paraId="210E3F08" w14:textId="77777777" w:rsidR="00022915" w:rsidRDefault="00022915" w:rsidP="00022915">
      <w:r>
        <w:t>The two options considered in detail in this RIS are the same as those considered by other COAG members:</w:t>
      </w:r>
    </w:p>
    <w:p w14:paraId="3A94C929" w14:textId="77777777" w:rsidR="00022915" w:rsidRPr="00664572" w:rsidRDefault="00022915" w:rsidP="00022915">
      <w:pPr>
        <w:pStyle w:val="Bullets1stindent"/>
      </w:pPr>
      <w:r w:rsidRPr="00664572">
        <w:t>Option 1</w:t>
      </w:r>
      <w:r>
        <w:t xml:space="preserve">: </w:t>
      </w:r>
      <w:r w:rsidRPr="00664572">
        <w:t>No change – no</w:t>
      </w:r>
      <w:r>
        <w:t xml:space="preserve"> Western Australian </w:t>
      </w:r>
      <w:r w:rsidRPr="00664572">
        <w:t xml:space="preserve">CDS and/or no exemption of </w:t>
      </w:r>
      <w:r>
        <w:t xml:space="preserve">the Western Australian </w:t>
      </w:r>
      <w:r w:rsidRPr="00664572">
        <w:t>CDS</w:t>
      </w:r>
      <w:r w:rsidRPr="00664572" w:rsidDel="007D09FB">
        <w:t>.</w:t>
      </w:r>
    </w:p>
    <w:p w14:paraId="78F5FDA9" w14:textId="77777777" w:rsidR="00022915" w:rsidRPr="00664572" w:rsidRDefault="00022915" w:rsidP="00022915">
      <w:pPr>
        <w:pStyle w:val="Bullets1stindent"/>
      </w:pPr>
      <w:r w:rsidRPr="00664572">
        <w:t>Option 2</w:t>
      </w:r>
      <w:r>
        <w:t>:</w:t>
      </w:r>
      <w:r w:rsidRPr="00664572">
        <w:t xml:space="preserve"> Development of a CDS for</w:t>
      </w:r>
      <w:r>
        <w:t xml:space="preserve"> Western Australia </w:t>
      </w:r>
      <w:r w:rsidRPr="00664572">
        <w:t>and a supporting permanent exemption of the</w:t>
      </w:r>
      <w:r>
        <w:t xml:space="preserve"> Western Australian CDS</w:t>
      </w:r>
      <w:r w:rsidRPr="00664572" w:rsidDel="007D09FB">
        <w:t>.</w:t>
      </w:r>
    </w:p>
    <w:p w14:paraId="10113F73" w14:textId="77777777" w:rsidR="00022915" w:rsidRDefault="00022915" w:rsidP="00022915">
      <w:r>
        <w:t>T</w:t>
      </w:r>
      <w:r w:rsidRPr="006A03F3">
        <w:t>he</w:t>
      </w:r>
      <w:r>
        <w:t xml:space="preserve"> Western Australian Government </w:t>
      </w:r>
      <w:r w:rsidRPr="006A03F3">
        <w:t>considered alternative approaches</w:t>
      </w:r>
      <w:r>
        <w:t xml:space="preserve"> including </w:t>
      </w:r>
      <w:r w:rsidRPr="006A03F3">
        <w:t>non</w:t>
      </w:r>
      <w:r>
        <w:noBreakHyphen/>
      </w:r>
      <w:r w:rsidRPr="006A03F3">
        <w:t>regulatory options proposed by industry</w:t>
      </w:r>
      <w:r>
        <w:t>;</w:t>
      </w:r>
      <w:r w:rsidRPr="006A03F3">
        <w:t xml:space="preserve"> a national harmonised approach</w:t>
      </w:r>
      <w:r>
        <w:t>;</w:t>
      </w:r>
      <w:r w:rsidRPr="006A03F3">
        <w:t xml:space="preserve"> and an alternative configuration of the CDS</w:t>
      </w:r>
      <w:r>
        <w:t xml:space="preserve"> in identifying these two options</w:t>
      </w:r>
      <w:r w:rsidRPr="006A03F3">
        <w:t xml:space="preserve">. </w:t>
      </w:r>
    </w:p>
    <w:p w14:paraId="00BBC66B" w14:textId="77777777" w:rsidR="00022915" w:rsidRDefault="00022915" w:rsidP="00022915">
      <w:r>
        <w:t>A</w:t>
      </w:r>
      <w:r w:rsidRPr="006A03F3">
        <w:t xml:space="preserve">n industry-proposed </w:t>
      </w:r>
      <w:r>
        <w:t>non-regulatory option</w:t>
      </w:r>
      <w:r>
        <w:rPr>
          <w:rStyle w:val="FootnoteReference"/>
        </w:rPr>
        <w:footnoteReference w:id="19"/>
      </w:r>
      <w:r w:rsidRPr="006A03F3">
        <w:t xml:space="preserve"> was found to be inadequate in meeting the</w:t>
      </w:r>
      <w:r>
        <w:t xml:space="preserve"> Western Australian </w:t>
      </w:r>
      <w:r w:rsidRPr="006A03F3">
        <w:t xml:space="preserve">Government’s litter reduction objectives and to </w:t>
      </w:r>
      <w:r>
        <w:t>pose</w:t>
      </w:r>
      <w:r w:rsidRPr="006A03F3">
        <w:t xml:space="preserve"> implementation problems.</w:t>
      </w:r>
    </w:p>
    <w:p w14:paraId="3EB7ADB8" w14:textId="77777777" w:rsidR="00022915" w:rsidRDefault="00022915" w:rsidP="00022915">
      <w:r w:rsidRPr="006A03F3">
        <w:t xml:space="preserve">A national CDS is not currently on the national policy agenda and so was not considered feasible. </w:t>
      </w:r>
    </w:p>
    <w:p w14:paraId="27904430" w14:textId="77777777" w:rsidR="00022915" w:rsidRDefault="00022915" w:rsidP="00022915">
      <w:r>
        <w:t>A</w:t>
      </w:r>
      <w:r w:rsidRPr="006A03F3">
        <w:t xml:space="preserve"> variation of the CDS requiring retailers to accept returned containers was found in primary analysis to deliver similar benefits to Option 2, but at a much higher cost.</w:t>
      </w:r>
    </w:p>
    <w:p w14:paraId="6494AA4B" w14:textId="77777777" w:rsidR="00022915" w:rsidRPr="00654F8E" w:rsidRDefault="00022915" w:rsidP="00022915">
      <w:r w:rsidRPr="00654F8E">
        <w:t>As further detailed below, only Option 2 is considered viable.</w:t>
      </w:r>
    </w:p>
    <w:p w14:paraId="3655FCAD" w14:textId="77777777" w:rsidR="00022915" w:rsidRPr="00654F8E" w:rsidRDefault="00022915" w:rsidP="00022915">
      <w:pPr>
        <w:pStyle w:val="Heading2"/>
      </w:pPr>
      <w:bookmarkStart w:id="59" w:name="_Toc9375368"/>
      <w:r w:rsidRPr="00654F8E">
        <w:t>Option 1: No Western Australian CDS</w:t>
      </w:r>
      <w:bookmarkEnd w:id="58"/>
      <w:bookmarkEnd w:id="59"/>
    </w:p>
    <w:p w14:paraId="1BCB553D" w14:textId="77777777" w:rsidR="00022915" w:rsidRPr="00654F8E" w:rsidRDefault="00022915" w:rsidP="00022915">
      <w:r w:rsidRPr="00654F8E">
        <w:t xml:space="preserve">Under Option 1 Western Australia does not implement a CDS and/or COAG members do not grant an exemption for the Western Australian CDS under the MR Act and the TTMR Act. </w:t>
      </w:r>
      <w:r w:rsidRPr="00654F8E">
        <w:rPr>
          <w:rStyle w:val="FootnoteReference"/>
        </w:rPr>
        <w:footnoteReference w:id="20"/>
      </w:r>
    </w:p>
    <w:p w14:paraId="6291B736" w14:textId="77777777" w:rsidR="00022915" w:rsidRPr="00654F8E" w:rsidRDefault="00022915" w:rsidP="00022915">
      <w:r w:rsidRPr="00654F8E">
        <w:t xml:space="preserve">As this would result in the scheme not being implemented, this option also forms the base (business-as-usual) case against which Option 2 can be assessed. </w:t>
      </w:r>
    </w:p>
    <w:p w14:paraId="0B2E7959" w14:textId="77777777" w:rsidR="00022915" w:rsidRDefault="00022915" w:rsidP="00022915">
      <w:r w:rsidRPr="00654F8E">
        <w:t xml:space="preserve">Because Option 1 maintains the status quo, it would not achieve the </w:t>
      </w:r>
      <w:r>
        <w:t xml:space="preserve">amended </w:t>
      </w:r>
      <w:r w:rsidRPr="00654F8E">
        <w:t xml:space="preserve">reform objectives, but would also not impose any additional costs.  </w:t>
      </w:r>
      <w:r>
        <w:t>Instead</w:t>
      </w:r>
      <w:r w:rsidRPr="00654F8E">
        <w:t>, it would result in ongoing damage by littering</w:t>
      </w:r>
      <w:r>
        <w:t xml:space="preserve"> and</w:t>
      </w:r>
      <w:r w:rsidRPr="00654F8E">
        <w:t xml:space="preserve"> </w:t>
      </w:r>
      <w:r>
        <w:t xml:space="preserve">contributing to landfill, </w:t>
      </w:r>
      <w:r w:rsidRPr="00654F8E">
        <w:t>resulting in environmental costs.</w:t>
      </w:r>
      <w:r>
        <w:t xml:space="preserve"> </w:t>
      </w:r>
    </w:p>
    <w:p w14:paraId="10F1FFEF" w14:textId="77777777" w:rsidR="00022915" w:rsidRPr="002A19A0" w:rsidRDefault="00022915" w:rsidP="00022915">
      <w:pPr>
        <w:pStyle w:val="Heading2"/>
        <w:keepLines/>
      </w:pPr>
      <w:bookmarkStart w:id="60" w:name="_Ref531861302"/>
      <w:bookmarkStart w:id="61" w:name="_Toc9375369"/>
      <w:bookmarkStart w:id="62" w:name="_Ref499718668"/>
      <w:bookmarkStart w:id="63" w:name="_Toc500154251"/>
      <w:r>
        <w:t>Option 2: D</w:t>
      </w:r>
      <w:r w:rsidRPr="00CD4F51">
        <w:t>evelopment of</w:t>
      </w:r>
      <w:r>
        <w:t xml:space="preserve"> the Western Australian CDS</w:t>
      </w:r>
      <w:bookmarkEnd w:id="60"/>
      <w:bookmarkEnd w:id="61"/>
      <w:r w:rsidRPr="00CD4F51">
        <w:t xml:space="preserve"> </w:t>
      </w:r>
      <w:bookmarkEnd w:id="62"/>
      <w:bookmarkEnd w:id="63"/>
    </w:p>
    <w:p w14:paraId="2EF43AEF" w14:textId="77777777" w:rsidR="00022915" w:rsidRDefault="00022915" w:rsidP="00022915">
      <w:r>
        <w:t xml:space="preserve">Under </w:t>
      </w:r>
      <w:r w:rsidRPr="003D79D5">
        <w:t>Option</w:t>
      </w:r>
      <w:r>
        <w:t xml:space="preserve"> 2 Western Australia would implement a CDS and </w:t>
      </w:r>
      <w:r w:rsidRPr="003D79D5">
        <w:t>COAG members grant a permanent exemption of the</w:t>
      </w:r>
      <w:r>
        <w:t xml:space="preserve"> Western Australian CDS </w:t>
      </w:r>
      <w:r w:rsidRPr="003D79D5">
        <w:t>under</w:t>
      </w:r>
      <w:r>
        <w:t xml:space="preserve"> the</w:t>
      </w:r>
      <w:r w:rsidRPr="003D79D5">
        <w:t xml:space="preserve"> MR</w:t>
      </w:r>
      <w:r>
        <w:t xml:space="preserve"> </w:t>
      </w:r>
      <w:r w:rsidRPr="003D79D5">
        <w:t>A</w:t>
      </w:r>
      <w:r>
        <w:t>ct</w:t>
      </w:r>
      <w:r w:rsidRPr="003D79D5">
        <w:t xml:space="preserve"> and TTMR</w:t>
      </w:r>
      <w:r>
        <w:t xml:space="preserve"> </w:t>
      </w:r>
      <w:r w:rsidRPr="003D79D5">
        <w:t>A</w:t>
      </w:r>
      <w:r>
        <w:t>ct</w:t>
      </w:r>
      <w:r w:rsidRPr="003D79D5">
        <w:t xml:space="preserve">. </w:t>
      </w:r>
      <w:r>
        <w:t xml:space="preserve"> </w:t>
      </w:r>
      <w:r w:rsidRPr="003D79D5">
        <w:t>This would allow</w:t>
      </w:r>
      <w:r>
        <w:t xml:space="preserve"> Western Australia </w:t>
      </w:r>
      <w:r w:rsidRPr="003D79D5">
        <w:t xml:space="preserve">to implement the CDS under </w:t>
      </w:r>
      <w:r>
        <w:t>an</w:t>
      </w:r>
      <w:r w:rsidRPr="003D79D5">
        <w:t xml:space="preserve"> amended </w:t>
      </w:r>
      <w:r w:rsidRPr="00222012">
        <w:t>WARR Act</w:t>
      </w:r>
      <w:r w:rsidRPr="003D79D5">
        <w:t>.</w:t>
      </w:r>
    </w:p>
    <w:p w14:paraId="6A85A4C2" w14:textId="77777777" w:rsidR="00022915" w:rsidRDefault="00022915" w:rsidP="00022915">
      <w:r>
        <w:t>There is some precedent for this as New South Wales, the Australian Capital Territory and the Northern Territory have been issued exemptions under the MR Act for their CDS.</w:t>
      </w:r>
      <w:r>
        <w:rPr>
          <w:rStyle w:val="FootnoteReference"/>
        </w:rPr>
        <w:footnoteReference w:id="21"/>
      </w:r>
    </w:p>
    <w:p w14:paraId="240EA0B0" w14:textId="77777777" w:rsidR="00022915" w:rsidRPr="00D67FDF" w:rsidRDefault="00022915" w:rsidP="00022915">
      <w:pPr>
        <w:pStyle w:val="Heading3"/>
      </w:pPr>
      <w:r w:rsidRPr="00D67FDF">
        <w:t>The Western Australian Container Deposit Scheme</w:t>
      </w:r>
    </w:p>
    <w:p w14:paraId="60373D3A" w14:textId="77777777" w:rsidR="00022915" w:rsidRDefault="00022915" w:rsidP="00022915">
      <w:r w:rsidRPr="003D79D5">
        <w:t>The</w:t>
      </w:r>
      <w:r>
        <w:t xml:space="preserve"> Western Australian </w:t>
      </w:r>
      <w:r w:rsidRPr="003D79D5">
        <w:t xml:space="preserve">Government has worked with </w:t>
      </w:r>
      <w:r>
        <w:t>other jurisdictions to</w:t>
      </w:r>
      <w:r w:rsidRPr="003D79D5">
        <w:t xml:space="preserve"> align </w:t>
      </w:r>
      <w:r>
        <w:t>its CDS to their</w:t>
      </w:r>
      <w:r w:rsidRPr="003D79D5">
        <w:t xml:space="preserve"> schemes wherever possible. </w:t>
      </w:r>
    </w:p>
    <w:p w14:paraId="4234CA3D" w14:textId="77777777" w:rsidR="00022915" w:rsidRDefault="00022915" w:rsidP="00022915">
      <w:r w:rsidRPr="003D79D5">
        <w:t>The</w:t>
      </w:r>
      <w:r>
        <w:t xml:space="preserve"> Western Australian </w:t>
      </w:r>
      <w:r w:rsidRPr="003D79D5">
        <w:t xml:space="preserve">CDS will allow anyone </w:t>
      </w:r>
      <w:r>
        <w:t>that</w:t>
      </w:r>
      <w:r w:rsidRPr="003D79D5">
        <w:t xml:space="preserve"> returns an empty eligible beverage container to an approved</w:t>
      </w:r>
      <w:r>
        <w:t xml:space="preserve"> Western Australia </w:t>
      </w:r>
      <w:r w:rsidRPr="003D79D5">
        <w:t xml:space="preserve">collection </w:t>
      </w:r>
      <w:r>
        <w:t>point</w:t>
      </w:r>
      <w:r w:rsidRPr="003D79D5">
        <w:t xml:space="preserve"> or </w:t>
      </w:r>
      <w:r>
        <w:t xml:space="preserve">reverse </w:t>
      </w:r>
      <w:r w:rsidRPr="0083027F">
        <w:t xml:space="preserve">vending machine to </w:t>
      </w:r>
      <w:r w:rsidRPr="003D79D5">
        <w:t>receive a 10</w:t>
      </w:r>
      <w:r>
        <w:t xml:space="preserve"> </w:t>
      </w:r>
      <w:r w:rsidRPr="003D79D5">
        <w:t>cent refund.</w:t>
      </w:r>
    </w:p>
    <w:p w14:paraId="7E3F5CC6" w14:textId="77777777" w:rsidR="00022915" w:rsidRPr="00C178E0" w:rsidRDefault="00022915" w:rsidP="00022915">
      <w:r>
        <w:t>In summary, the f</w:t>
      </w:r>
      <w:r w:rsidRPr="00C178E0">
        <w:t xml:space="preserve">eatures of the scheme </w:t>
      </w:r>
      <w:r>
        <w:t>are</w:t>
      </w:r>
      <w:r w:rsidRPr="00C178E0">
        <w:t>:</w:t>
      </w:r>
    </w:p>
    <w:p w14:paraId="5FD7173B" w14:textId="77777777" w:rsidR="00022915" w:rsidRDefault="00022915" w:rsidP="00022915">
      <w:pPr>
        <w:pStyle w:val="Bullets1stindent"/>
      </w:pPr>
      <w:r w:rsidRPr="003D79D5">
        <w:t xml:space="preserve">Beverage containers </w:t>
      </w:r>
      <w:r>
        <w:t xml:space="preserve">of </w:t>
      </w:r>
      <w:r w:rsidRPr="003D79D5">
        <w:t>between 150</w:t>
      </w:r>
      <w:r>
        <w:t xml:space="preserve"> millilitres </w:t>
      </w:r>
      <w:r w:rsidRPr="007B71AD">
        <w:t>and 3 litres in volume purchased in Western Australia can be returned to refund points for a refund, with some exceptions</w:t>
      </w:r>
      <w:r w:rsidRPr="00C34C75">
        <w:t xml:space="preserve"> (which are outlined </w:t>
      </w:r>
      <w:r>
        <w:t>below</w:t>
      </w:r>
      <w:r w:rsidRPr="00C34C75">
        <w:t>).</w:t>
      </w:r>
      <w:r w:rsidRPr="003D79D5">
        <w:t xml:space="preserve"> </w:t>
      </w:r>
      <w:r>
        <w:t xml:space="preserve"> T</w:t>
      </w:r>
      <w:r w:rsidRPr="003D79D5">
        <w:t>o aid consistency</w:t>
      </w:r>
      <w:r>
        <w:t>,</w:t>
      </w:r>
      <w:r w:rsidRPr="003D79D5">
        <w:t xml:space="preserve"> </w:t>
      </w:r>
      <w:r>
        <w:t>t</w:t>
      </w:r>
      <w:r w:rsidRPr="003D79D5">
        <w:t>he</w:t>
      </w:r>
      <w:r>
        <w:t>se</w:t>
      </w:r>
      <w:r w:rsidRPr="003D79D5">
        <w:t xml:space="preserve"> exceptions are similar to the exceptions in </w:t>
      </w:r>
      <w:r>
        <w:t>New South Wales, Queensland, South Australia, the Australian Capital Territory, and the Northern Territory</w:t>
      </w:r>
      <w:r w:rsidRPr="003D79D5">
        <w:t>.</w:t>
      </w:r>
    </w:p>
    <w:p w14:paraId="59A323A6" w14:textId="77777777" w:rsidR="00022915" w:rsidRDefault="00022915" w:rsidP="00022915">
      <w:pPr>
        <w:pStyle w:val="Bullets1stindent"/>
      </w:pPr>
      <w:r>
        <w:t>The refund amount is ten cents for eligible drink containers that are returned to refund points.  This amount is consistent with the refund in New South Wales, Queensland, South Australia, the Australian Capital Territory, and the Northern Territory.</w:t>
      </w:r>
    </w:p>
    <w:p w14:paraId="629B82C0" w14:textId="77777777" w:rsidR="00022915" w:rsidRDefault="00022915" w:rsidP="00022915">
      <w:pPr>
        <w:pStyle w:val="Bullets1stindent"/>
      </w:pPr>
      <w:r>
        <w:t>All eligible containers are required to display an approved refund mark to advise consumers of the eligibility of the container.  A common refund mark will be used.  Many containers sold in Western Australia already carry markings used in South Australia and the Northern Territory.</w:t>
      </w:r>
      <w:r>
        <w:rPr>
          <w:rStyle w:val="FootnoteReference"/>
        </w:rPr>
        <w:footnoteReference w:id="22"/>
      </w:r>
    </w:p>
    <w:p w14:paraId="02F3EBBA" w14:textId="77777777" w:rsidR="00022915" w:rsidRPr="00E80F3B" w:rsidRDefault="00022915" w:rsidP="00022915">
      <w:pPr>
        <w:pStyle w:val="Bullets1stindent"/>
      </w:pPr>
      <w:r w:rsidRPr="00E80F3B">
        <w:t>Beverage suppliers (manufacturers, importers, wholesalers or retailers) that bring eligible containers into</w:t>
      </w:r>
      <w:r>
        <w:t xml:space="preserve"> Western Australia </w:t>
      </w:r>
      <w:r w:rsidRPr="00E80F3B">
        <w:t xml:space="preserve">will be responsible for funding the refund </w:t>
      </w:r>
      <w:r>
        <w:t>and</w:t>
      </w:r>
      <w:r w:rsidRPr="00E80F3B">
        <w:t xml:space="preserve"> associated costs.</w:t>
      </w:r>
    </w:p>
    <w:p w14:paraId="62A6E83B" w14:textId="77777777" w:rsidR="00022915" w:rsidRPr="00E80F3B" w:rsidRDefault="00022915" w:rsidP="00022915">
      <w:pPr>
        <w:pStyle w:val="Bullets1stindent"/>
      </w:pPr>
      <w:r w:rsidRPr="00E80F3B">
        <w:t xml:space="preserve">Eligible containers </w:t>
      </w:r>
      <w:r w:rsidRPr="005A790F">
        <w:t>in kerbside recycling</w:t>
      </w:r>
      <w:r w:rsidRPr="00E80F3B">
        <w:t xml:space="preserve"> will be able to be redeemed.</w:t>
      </w:r>
      <w:r>
        <w:t xml:space="preserve"> </w:t>
      </w:r>
      <w:r w:rsidRPr="00E80F3B">
        <w:t xml:space="preserve"> The proposed scheme will allow material recovery </w:t>
      </w:r>
      <w:r w:rsidRPr="0083027F">
        <w:t xml:space="preserve">facilities </w:t>
      </w:r>
      <w:r w:rsidRPr="00E80F3B">
        <w:t xml:space="preserve">to use an approved method </w:t>
      </w:r>
      <w:r>
        <w:t xml:space="preserve">(a material recovery facility protocol) </w:t>
      </w:r>
      <w:r w:rsidRPr="00E80F3B">
        <w:t xml:space="preserve">for accurately estimating the number of containers recovered in the facility and to claim the refund from the scheme coordinator. </w:t>
      </w:r>
      <w:r>
        <w:t xml:space="preserve"> </w:t>
      </w:r>
      <w:r w:rsidRPr="00E80F3B">
        <w:t xml:space="preserve">Under </w:t>
      </w:r>
      <w:r>
        <w:t>this</w:t>
      </w:r>
      <w:r w:rsidRPr="00E80F3B">
        <w:t xml:space="preserve"> approach, a material recovery </w:t>
      </w:r>
      <w:r w:rsidRPr="0083027F">
        <w:t>facilit</w:t>
      </w:r>
      <w:r>
        <w:t>y</w:t>
      </w:r>
      <w:r w:rsidRPr="0083027F">
        <w:t xml:space="preserve"> </w:t>
      </w:r>
      <w:r w:rsidRPr="00E80F3B">
        <w:t>would receive the refund amount</w:t>
      </w:r>
      <w:r>
        <w:t xml:space="preserve"> and </w:t>
      </w:r>
      <w:r w:rsidRPr="00E80F3B">
        <w:t>would not be able to claim a handling fee</w:t>
      </w:r>
      <w:r>
        <w:t>.  It would</w:t>
      </w:r>
      <w:r w:rsidRPr="00E80F3B">
        <w:t xml:space="preserve"> not need to separate out containers or substantially change </w:t>
      </w:r>
      <w:r>
        <w:t>its</w:t>
      </w:r>
      <w:r w:rsidRPr="00E80F3B">
        <w:t xml:space="preserve"> existing recovery processes. </w:t>
      </w:r>
      <w:r>
        <w:t xml:space="preserve"> </w:t>
      </w:r>
      <w:r w:rsidRPr="00E80F3B">
        <w:t>The scheme provide</w:t>
      </w:r>
      <w:r>
        <w:t>s</w:t>
      </w:r>
      <w:r w:rsidRPr="00E80F3B">
        <w:t xml:space="preserve"> </w:t>
      </w:r>
      <w:r>
        <w:t xml:space="preserve">for a default agreement in which </w:t>
      </w:r>
      <w:r w:rsidRPr="00E80F3B">
        <w:t xml:space="preserve">material recovery </w:t>
      </w:r>
      <w:r w:rsidRPr="0083027F">
        <w:t xml:space="preserve">facilities </w:t>
      </w:r>
      <w:r w:rsidRPr="00E80F3B">
        <w:t>and local governments share any benefits that may result from these arrangements</w:t>
      </w:r>
      <w:r>
        <w:t xml:space="preserve"> once reasonable costs have been deducted.</w:t>
      </w:r>
      <w:r>
        <w:rPr>
          <w:rStyle w:val="FootnoteReference"/>
        </w:rPr>
        <w:footnoteReference w:id="23"/>
      </w:r>
      <w:r>
        <w:t xml:space="preserve"> This default agreement will apply until parties come to an alternative agreement.</w:t>
      </w:r>
    </w:p>
    <w:p w14:paraId="3827F8FA" w14:textId="77777777" w:rsidR="00022915" w:rsidRPr="000B3803" w:rsidRDefault="00022915" w:rsidP="00022915">
      <w:pPr>
        <w:pStyle w:val="Bullets1stindent"/>
      </w:pPr>
      <w:r w:rsidRPr="00E80F3B">
        <w:t xml:space="preserve">The </w:t>
      </w:r>
      <w:r w:rsidRPr="000B3803">
        <w:t>proposed governance and administrative arrangements for the CDS are:</w:t>
      </w:r>
    </w:p>
    <w:p w14:paraId="70875B9F" w14:textId="77777777" w:rsidR="00022915" w:rsidRPr="000B3803" w:rsidRDefault="00022915" w:rsidP="00022915">
      <w:pPr>
        <w:pStyle w:val="Bullets2ndindent"/>
      </w:pPr>
      <w:r w:rsidRPr="000B3803">
        <w:t xml:space="preserve">The Minister for the Environment </w:t>
      </w:r>
      <w:r>
        <w:t>will be</w:t>
      </w:r>
      <w:r w:rsidRPr="000B3803">
        <w:t xml:space="preserve"> </w:t>
      </w:r>
      <w:r>
        <w:t>responsible</w:t>
      </w:r>
      <w:r w:rsidRPr="000B3803">
        <w:t xml:space="preserve"> for the administrative and governance arrangements.</w:t>
      </w:r>
    </w:p>
    <w:p w14:paraId="13D2C392" w14:textId="77777777" w:rsidR="00022915" w:rsidRPr="000B3803" w:rsidRDefault="00022915" w:rsidP="00022915">
      <w:pPr>
        <w:pStyle w:val="Bullets2ndindent"/>
      </w:pPr>
      <w:r w:rsidRPr="000B3803">
        <w:t xml:space="preserve">A scheme </w:t>
      </w:r>
      <w:r>
        <w:t>administrator</w:t>
      </w:r>
      <w:r w:rsidRPr="000B3803">
        <w:t xml:space="preserve"> will be responsible for selecting and contracting with the</w:t>
      </w:r>
      <w:r>
        <w:t> scheme</w:t>
      </w:r>
      <w:r w:rsidRPr="000B3803">
        <w:t xml:space="preserve"> co-ordinator, approving eligible beverage containers, monitoring compliance and reporting to the Minister for Environment.  </w:t>
      </w:r>
      <w:r>
        <w:t>T</w:t>
      </w:r>
      <w:r w:rsidRPr="000B3803">
        <w:t>he Department of Water and Environmental Regulation</w:t>
      </w:r>
      <w:r>
        <w:t xml:space="preserve"> (</w:t>
      </w:r>
      <w:r w:rsidRPr="000B74A0">
        <w:t>DWER</w:t>
      </w:r>
      <w:r w:rsidRPr="009F23E1">
        <w:t>)</w:t>
      </w:r>
      <w:r>
        <w:t xml:space="preserve"> will undertake this </w:t>
      </w:r>
      <w:r w:rsidRPr="000B3803">
        <w:t xml:space="preserve">oversight </w:t>
      </w:r>
      <w:r>
        <w:t>role</w:t>
      </w:r>
      <w:r w:rsidRPr="009F23E1">
        <w:t>.</w:t>
      </w:r>
      <w:r w:rsidRPr="000B3803">
        <w:t xml:space="preserve">  </w:t>
      </w:r>
    </w:p>
    <w:p w14:paraId="17A58598" w14:textId="77777777" w:rsidR="00022915" w:rsidRPr="005A790F" w:rsidRDefault="00022915" w:rsidP="00022915">
      <w:pPr>
        <w:pStyle w:val="Bullets2ndindent"/>
      </w:pPr>
      <w:r w:rsidRPr="000B3803">
        <w:t xml:space="preserve">The scheme </w:t>
      </w:r>
      <w:r>
        <w:t>coordinator</w:t>
      </w:r>
      <w:r w:rsidRPr="000B3803">
        <w:t xml:space="preserve"> </w:t>
      </w:r>
      <w:r>
        <w:t>will</w:t>
      </w:r>
      <w:r w:rsidRPr="000B3803">
        <w:t xml:space="preserve"> manag</w:t>
      </w:r>
      <w:r>
        <w:t>e</w:t>
      </w:r>
      <w:r w:rsidRPr="000B3803">
        <w:t xml:space="preserve"> the scheme’s financial arrangements (including </w:t>
      </w:r>
      <w:r>
        <w:t xml:space="preserve">the </w:t>
      </w:r>
      <w:r w:rsidRPr="000B3803">
        <w:t xml:space="preserve">allocation </w:t>
      </w:r>
      <w:r>
        <w:t xml:space="preserve">of </w:t>
      </w:r>
      <w:r w:rsidRPr="000B3803">
        <w:t>scheme costs to beverage supplie</w:t>
      </w:r>
      <w:r>
        <w:t>r</w:t>
      </w:r>
      <w:r w:rsidRPr="000B3803">
        <w:t>s), establishing a network of refund points th</w:t>
      </w:r>
      <w:r>
        <w:t>r</w:t>
      </w:r>
      <w:r w:rsidRPr="000B3803">
        <w:t>ough arrangements with network operators</w:t>
      </w:r>
      <w:r>
        <w:t xml:space="preserve">. In addition, the </w:t>
      </w:r>
      <w:r w:rsidRPr="000B3803">
        <w:t xml:space="preserve">scheme </w:t>
      </w:r>
      <w:r>
        <w:t>coordinator</w:t>
      </w:r>
      <w:r w:rsidRPr="000B3803">
        <w:t xml:space="preserve"> </w:t>
      </w:r>
      <w:r>
        <w:t xml:space="preserve">will </w:t>
      </w:r>
      <w:r w:rsidRPr="000B3803">
        <w:t xml:space="preserve">monitor and report against the scheme’s </w:t>
      </w:r>
      <w:r w:rsidRPr="005A790F">
        <w:t>targets and reporting requirements and inform consumers about the scheme.</w:t>
      </w:r>
      <w:r w:rsidRPr="005A790F">
        <w:rPr>
          <w:rStyle w:val="FootnoteReference"/>
        </w:rPr>
        <w:footnoteReference w:id="24"/>
      </w:r>
    </w:p>
    <w:p w14:paraId="4402CB9F" w14:textId="77777777" w:rsidR="00022915" w:rsidRPr="00222881" w:rsidRDefault="00022915" w:rsidP="00022915">
      <w:r w:rsidRPr="00222881">
        <w:t>Option 2 (the introduction of the CDS) meets the first two objectives:</w:t>
      </w:r>
    </w:p>
    <w:p w14:paraId="3A4A5D77" w14:textId="77777777" w:rsidR="00022915" w:rsidRPr="00222881" w:rsidRDefault="00022915" w:rsidP="001F12B4">
      <w:pPr>
        <w:pStyle w:val="Bullets1stindent"/>
        <w:keepLines w:val="0"/>
      </w:pPr>
      <w:r w:rsidRPr="00222881">
        <w:t xml:space="preserve">increase the recovery and recycling of empty beverage containers; and </w:t>
      </w:r>
    </w:p>
    <w:p w14:paraId="51F07BBD" w14:textId="77777777" w:rsidR="00022915" w:rsidRPr="00222881" w:rsidRDefault="00022915" w:rsidP="001F12B4">
      <w:pPr>
        <w:pStyle w:val="Bullets1stindent"/>
        <w:keepLines w:val="0"/>
      </w:pPr>
      <w:r w:rsidRPr="00222881">
        <w:t>reduce the number of empty beverage containers that are disposed of as litter or to landfill.</w:t>
      </w:r>
    </w:p>
    <w:p w14:paraId="11C7F5E1" w14:textId="77777777" w:rsidR="00022915" w:rsidRPr="00222881" w:rsidRDefault="00022915" w:rsidP="00022915">
      <w:pPr>
        <w:pStyle w:val="Bullets1stindent"/>
        <w:numPr>
          <w:ilvl w:val="0"/>
          <w:numId w:val="0"/>
        </w:numPr>
      </w:pPr>
      <w:r w:rsidRPr="00222881">
        <w:t>In addition, Option 2 achieves these first two outcomes utilising a strategy that aligns well with the remaining revised objectives:</w:t>
      </w:r>
    </w:p>
    <w:p w14:paraId="3F3061A6" w14:textId="77777777" w:rsidR="00022915" w:rsidRPr="00222881" w:rsidRDefault="00022915" w:rsidP="001F12B4">
      <w:pPr>
        <w:pStyle w:val="Bullets1stindent"/>
        <w:keepLines w:val="0"/>
      </w:pPr>
      <w:r w:rsidRPr="00222881">
        <w:t xml:space="preserve">ensure that first responsible suppliers of beverage products take product stewardship responsibility in relation to their beverage products; </w:t>
      </w:r>
    </w:p>
    <w:p w14:paraId="3E1EFDE3" w14:textId="77777777" w:rsidR="00022915" w:rsidRPr="00222881" w:rsidRDefault="00022915" w:rsidP="001F12B4">
      <w:pPr>
        <w:pStyle w:val="Bullets1stindent"/>
        <w:keepLines w:val="0"/>
      </w:pPr>
      <w:r w:rsidRPr="00222881">
        <w:t xml:space="preserve">provide opportunities for social enterprise, and benefits for community organisations, through participation in the container deposit scheme; </w:t>
      </w:r>
    </w:p>
    <w:p w14:paraId="45FECC79" w14:textId="77777777" w:rsidR="00022915" w:rsidRPr="00222881" w:rsidRDefault="00022915" w:rsidP="001F12B4">
      <w:pPr>
        <w:pStyle w:val="Bullets1stindent"/>
        <w:keepLines w:val="0"/>
      </w:pPr>
      <w:r w:rsidRPr="00222881">
        <w:t xml:space="preserve">create opportunities for employment; and </w:t>
      </w:r>
    </w:p>
    <w:p w14:paraId="5AF72415" w14:textId="77777777" w:rsidR="00022915" w:rsidRPr="00222881" w:rsidRDefault="00022915" w:rsidP="001F12B4">
      <w:pPr>
        <w:pStyle w:val="Bullets1stindent"/>
        <w:keepLines w:val="0"/>
      </w:pPr>
      <w:r w:rsidRPr="00222881">
        <w:t>complement existing collection and recycling activities for recyclable waste.</w:t>
      </w:r>
    </w:p>
    <w:p w14:paraId="56302992" w14:textId="77777777" w:rsidR="00022915" w:rsidRDefault="00022915" w:rsidP="00022915"/>
    <w:p w14:paraId="10B7AE1E" w14:textId="77777777" w:rsidR="00022915" w:rsidRPr="00D85F1E" w:rsidRDefault="00022915" w:rsidP="00022915">
      <w:r w:rsidRPr="00D85F1E">
        <w:fldChar w:fldCharType="begin"/>
      </w:r>
      <w:r w:rsidRPr="00D85F1E">
        <w:instrText xml:space="preserve"> REF _Ref508109499 \h  \* MERGEFORMAT </w:instrText>
      </w:r>
      <w:r w:rsidRPr="00D85F1E">
        <w:fldChar w:fldCharType="separate"/>
      </w:r>
      <w:r w:rsidRPr="009F23E1">
        <w:t xml:space="preserve">Figure </w:t>
      </w:r>
      <w:r>
        <w:rPr>
          <w:noProof/>
        </w:rPr>
        <w:t>2</w:t>
      </w:r>
      <w:r w:rsidRPr="00D85F1E">
        <w:fldChar w:fldCharType="end"/>
      </w:r>
      <w:r w:rsidRPr="00D85F1E">
        <w:t xml:space="preserve"> provides a conceptual model of the administrative arrangements </w:t>
      </w:r>
      <w:r>
        <w:t xml:space="preserve">of the Western Australian </w:t>
      </w:r>
      <w:r w:rsidRPr="00D85F1E">
        <w:t>CDS.</w:t>
      </w:r>
      <w:r>
        <w:t xml:space="preserve">  The figure shows DWER as the </w:t>
      </w:r>
      <w:r w:rsidRPr="00344DC9">
        <w:t>scheme administrator</w:t>
      </w:r>
      <w:r>
        <w:t xml:space="preserve"> – providing oversight to the scheme coordinator.  The details of the structures and processes are being finalised in consultation with a CDS Advisory Group which includes representatives from retailers, beverage manufacturers, recycling and waste industries as well as local government, community and environmental representatives.</w:t>
      </w:r>
    </w:p>
    <w:p w14:paraId="719F73D6" w14:textId="77777777" w:rsidR="00022915" w:rsidRPr="00CE7C92" w:rsidRDefault="00022915" w:rsidP="00022915">
      <w:pPr>
        <w:pStyle w:val="Caption"/>
      </w:pPr>
      <w:bookmarkStart w:id="64" w:name="_Ref508109499"/>
      <w:bookmarkStart w:id="65" w:name="_Toc10031203"/>
      <w:r w:rsidRPr="009F23E1">
        <w:t xml:space="preserve">Figure </w:t>
      </w:r>
      <w:r w:rsidR="00CF34D3">
        <w:rPr>
          <w:noProof/>
        </w:rPr>
        <w:fldChar w:fldCharType="begin"/>
      </w:r>
      <w:r w:rsidR="00CF34D3">
        <w:rPr>
          <w:noProof/>
        </w:rPr>
        <w:instrText xml:space="preserve"> SEQ Figure \* ARABIC </w:instrText>
      </w:r>
      <w:r w:rsidR="00CF34D3">
        <w:rPr>
          <w:noProof/>
        </w:rPr>
        <w:fldChar w:fldCharType="separate"/>
      </w:r>
      <w:r>
        <w:rPr>
          <w:noProof/>
        </w:rPr>
        <w:t>2</w:t>
      </w:r>
      <w:r w:rsidR="00CF34D3">
        <w:rPr>
          <w:noProof/>
        </w:rPr>
        <w:fldChar w:fldCharType="end"/>
      </w:r>
      <w:bookmarkEnd w:id="64"/>
      <w:r w:rsidRPr="009F23E1">
        <w:t>: Conceptual model of the</w:t>
      </w:r>
      <w:r>
        <w:t xml:space="preserve"> Western Australian </w:t>
      </w:r>
      <w:r w:rsidRPr="009F23E1">
        <w:t>CDS administrative arrangements</w:t>
      </w:r>
      <w:bookmarkEnd w:id="65"/>
    </w:p>
    <w:p w14:paraId="0D2BC8C3" w14:textId="77777777" w:rsidR="00022915" w:rsidRDefault="00022915" w:rsidP="00022915">
      <w:pPr>
        <w:pStyle w:val="Caption"/>
        <w:rPr>
          <w:b w:val="0"/>
          <w:i w:val="0"/>
        </w:rPr>
      </w:pPr>
      <w:r>
        <w:rPr>
          <w:b w:val="0"/>
          <w:i w:val="0"/>
          <w:noProof/>
        </w:rPr>
        <w:drawing>
          <wp:inline distT="0" distB="0" distL="0" distR="0" wp14:anchorId="200863B4" wp14:editId="7CE5BD57">
            <wp:extent cx="5658637" cy="3324225"/>
            <wp:effectExtent l="0" t="0" r="0" b="0"/>
            <wp:docPr id="4" name="Picture 4" descr="Flow diagram showing the movement of funds and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3968" cy="3339106"/>
                    </a:xfrm>
                    <a:prstGeom prst="rect">
                      <a:avLst/>
                    </a:prstGeom>
                    <a:noFill/>
                  </pic:spPr>
                </pic:pic>
              </a:graphicData>
            </a:graphic>
          </wp:inline>
        </w:drawing>
      </w:r>
    </w:p>
    <w:p w14:paraId="63C1A998" w14:textId="77777777" w:rsidR="00022915" w:rsidRPr="00BD5687" w:rsidRDefault="00022915" w:rsidP="00022915">
      <w:pPr>
        <w:pStyle w:val="DWERSource"/>
      </w:pPr>
      <w:r w:rsidRPr="00BD5687">
        <w:t>Source</w:t>
      </w:r>
      <w:r>
        <w:t>:</w:t>
      </w:r>
      <w:r w:rsidRPr="00BD5687">
        <w:t xml:space="preserve"> </w:t>
      </w:r>
      <w:r>
        <w:t xml:space="preserve">Adapted from </w:t>
      </w:r>
      <w:r w:rsidRPr="00BD5687">
        <w:t>DWER (2017)</w:t>
      </w:r>
    </w:p>
    <w:p w14:paraId="1794145F" w14:textId="77777777" w:rsidR="00022915" w:rsidRPr="00D67FDF" w:rsidRDefault="00022915" w:rsidP="00022915">
      <w:pPr>
        <w:pStyle w:val="Heading3"/>
      </w:pPr>
      <w:bookmarkStart w:id="66" w:name="_Ref498436717"/>
      <w:r w:rsidRPr="00D67FDF">
        <w:t xml:space="preserve">Containers to be </w:t>
      </w:r>
      <w:bookmarkEnd w:id="66"/>
      <w:r w:rsidRPr="00D67FDF">
        <w:t>included</w:t>
      </w:r>
      <w:r>
        <w:t xml:space="preserve"> </w:t>
      </w:r>
    </w:p>
    <w:p w14:paraId="26DE466C" w14:textId="77777777" w:rsidR="00022915" w:rsidRDefault="00022915" w:rsidP="00022915">
      <w:r w:rsidRPr="00806685">
        <w:t>The CDS will apply to most beverage containers between 150</w:t>
      </w:r>
      <w:r>
        <w:t> </w:t>
      </w:r>
      <w:r w:rsidRPr="00806685">
        <w:t xml:space="preserve">millilitres and </w:t>
      </w:r>
      <w:r>
        <w:t>3 </w:t>
      </w:r>
      <w:r w:rsidRPr="00806685">
        <w:t xml:space="preserve">litres in </w:t>
      </w:r>
      <w:r w:rsidRPr="00E80F3B">
        <w:t xml:space="preserve">volume. </w:t>
      </w:r>
      <w:r>
        <w:t xml:space="preserve"> </w:t>
      </w:r>
      <w:r w:rsidRPr="00E80F3B">
        <w:t>The s</w:t>
      </w:r>
      <w:r w:rsidRPr="00806685">
        <w:t xml:space="preserve">cope of containers </w:t>
      </w:r>
      <w:r>
        <w:t>to</w:t>
      </w:r>
      <w:r w:rsidRPr="00806685">
        <w:t xml:space="preserve"> be covered by the </w:t>
      </w:r>
      <w:r>
        <w:t>scheme</w:t>
      </w:r>
      <w:r w:rsidRPr="00806685">
        <w:t xml:space="preserve"> will be defined in the</w:t>
      </w:r>
      <w:r>
        <w:t xml:space="preserve"> regulations made under the </w:t>
      </w:r>
      <w:r w:rsidRPr="00135E23">
        <w:t>W</w:t>
      </w:r>
      <w:r>
        <w:t>A</w:t>
      </w:r>
      <w:r w:rsidRPr="00135E23">
        <w:t>RR Act</w:t>
      </w:r>
      <w:r w:rsidRPr="008D18DE">
        <w:rPr>
          <w:vertAlign w:val="superscript"/>
        </w:rPr>
        <w:footnoteReference w:id="25"/>
      </w:r>
      <w:r>
        <w:rPr>
          <w:i/>
        </w:rPr>
        <w:t xml:space="preserve"> </w:t>
      </w:r>
      <w:r w:rsidRPr="00806685">
        <w:t xml:space="preserve">and </w:t>
      </w:r>
      <w:r>
        <w:t xml:space="preserve">be </w:t>
      </w:r>
      <w:r w:rsidRPr="00806685">
        <w:t xml:space="preserve">consistent with the scope of containers covered by </w:t>
      </w:r>
      <w:r>
        <w:t xml:space="preserve">the existing New South Wales, Queensland, </w:t>
      </w:r>
      <w:r w:rsidRPr="00806685">
        <w:t>South Australian</w:t>
      </w:r>
      <w:r>
        <w:t>,</w:t>
      </w:r>
      <w:r w:rsidRPr="00806685">
        <w:t xml:space="preserve"> </w:t>
      </w:r>
      <w:r>
        <w:t xml:space="preserve">Australian Capital Territory, </w:t>
      </w:r>
      <w:r w:rsidRPr="00806685">
        <w:t xml:space="preserve">and Northern Territory </w:t>
      </w:r>
      <w:r>
        <w:t>CDSs</w:t>
      </w:r>
      <w:r w:rsidRPr="00806685">
        <w:t>.</w:t>
      </w:r>
      <w:r>
        <w:rPr>
          <w:rStyle w:val="FootnoteReference"/>
        </w:rPr>
        <w:footnoteReference w:id="26"/>
      </w:r>
      <w:r w:rsidRPr="00806685">
        <w:t xml:space="preserve"> </w:t>
      </w:r>
    </w:p>
    <w:p w14:paraId="384062C5" w14:textId="77777777" w:rsidR="00022915" w:rsidRDefault="00022915" w:rsidP="00022915">
      <w:r>
        <w:t>The c</w:t>
      </w:r>
      <w:r w:rsidRPr="00806685">
        <w:t xml:space="preserve">ontainers </w:t>
      </w:r>
      <w:r>
        <w:t xml:space="preserve">to be </w:t>
      </w:r>
      <w:r w:rsidRPr="00FD0798">
        <w:rPr>
          <w:b/>
        </w:rPr>
        <w:t>excluded</w:t>
      </w:r>
      <w:r w:rsidRPr="00806685">
        <w:t xml:space="preserve"> from </w:t>
      </w:r>
      <w:r>
        <w:t>the CDS include:</w:t>
      </w:r>
    </w:p>
    <w:p w14:paraId="1919E8A0" w14:textId="77777777" w:rsidR="00022915" w:rsidRDefault="00022915" w:rsidP="00022915">
      <w:pPr>
        <w:pStyle w:val="Bullets1stindent"/>
      </w:pPr>
      <w:r w:rsidRPr="003D79D5">
        <w:t>plain milk (or milk substitute) containers</w:t>
      </w:r>
      <w:r>
        <w:t>;</w:t>
      </w:r>
    </w:p>
    <w:p w14:paraId="11FDF96D" w14:textId="77777777" w:rsidR="00022915" w:rsidRDefault="00022915" w:rsidP="00022915">
      <w:pPr>
        <w:pStyle w:val="Bullets1stindent"/>
      </w:pPr>
      <w:r>
        <w:t>flavoured milk containers of one litre or more;</w:t>
      </w:r>
    </w:p>
    <w:p w14:paraId="57568005" w14:textId="77777777" w:rsidR="00022915" w:rsidRDefault="00022915" w:rsidP="00022915">
      <w:pPr>
        <w:pStyle w:val="Bullets1stindent"/>
      </w:pPr>
      <w:r>
        <w:t>pure fruit or vegetable juice containers of one litre or more;</w:t>
      </w:r>
    </w:p>
    <w:p w14:paraId="2C7A2D37" w14:textId="77777777" w:rsidR="00022915" w:rsidRDefault="00022915" w:rsidP="00022915">
      <w:pPr>
        <w:pStyle w:val="Bullets1stindent"/>
      </w:pPr>
      <w:r>
        <w:t>glass containers for wine and spirits;</w:t>
      </w:r>
    </w:p>
    <w:p w14:paraId="662551F2" w14:textId="77777777" w:rsidR="00022915" w:rsidRDefault="00022915" w:rsidP="00022915">
      <w:pPr>
        <w:pStyle w:val="Bullets1stindent"/>
      </w:pPr>
      <w:r>
        <w:t>casks (plastic bladders in boxes) for wine and casks for water of one litre or more;</w:t>
      </w:r>
    </w:p>
    <w:p w14:paraId="40C5AF3E" w14:textId="77777777" w:rsidR="00022915" w:rsidRDefault="00022915" w:rsidP="00022915">
      <w:pPr>
        <w:pStyle w:val="Bullets1stindent"/>
      </w:pPr>
      <w:r>
        <w:t>sachets for wine of 250 millilitres or more;</w:t>
      </w:r>
    </w:p>
    <w:p w14:paraId="7AE0C0CD" w14:textId="77777777" w:rsidR="00022915" w:rsidRDefault="00022915" w:rsidP="00022915">
      <w:pPr>
        <w:pStyle w:val="Bullets1stindent"/>
      </w:pPr>
      <w:r>
        <w:t xml:space="preserve">containers for cordials and concentrated fruit and vegetable juices; and </w:t>
      </w:r>
    </w:p>
    <w:p w14:paraId="1B516C2A" w14:textId="77777777" w:rsidR="00022915" w:rsidRDefault="00022915" w:rsidP="00022915">
      <w:pPr>
        <w:pStyle w:val="Bullets1stindent"/>
      </w:pPr>
      <w:r>
        <w:t>containers for registered health tonics.</w:t>
      </w:r>
    </w:p>
    <w:p w14:paraId="1DAF4C1F" w14:textId="77777777" w:rsidR="00022915" w:rsidRDefault="00022915" w:rsidP="00022915">
      <w:r>
        <w:t>Beverage containers excluded from the scheme are those more likely to be consumed in the home and are therefore less likely to be littered and are more likely to already be recycled.</w:t>
      </w:r>
      <w:r w:rsidRPr="00A7180B">
        <w:t xml:space="preserve"> </w:t>
      </w:r>
    </w:p>
    <w:p w14:paraId="6907F1F7" w14:textId="77777777" w:rsidR="00022915" w:rsidRDefault="00022915" w:rsidP="00022915">
      <w:r>
        <w:t xml:space="preserve">Submissions received in response to </w:t>
      </w:r>
      <w:r w:rsidRPr="00CE7C92">
        <w:t>the Consultation RIS</w:t>
      </w:r>
      <w:r>
        <w:t xml:space="preserve"> ranged from being supportive of the proposed scope, to suggesting a broader scope – covering a wider range of container types and sizes.  </w:t>
      </w:r>
    </w:p>
    <w:p w14:paraId="70DA6D1D" w14:textId="77777777" w:rsidR="00022915" w:rsidRDefault="00022915" w:rsidP="00022915">
      <w:r>
        <w:t>The Western Australian Government acknowledges that some submissions seek an expanded scope for the scheme, but notes that:</w:t>
      </w:r>
    </w:p>
    <w:p w14:paraId="0698F051" w14:textId="77777777" w:rsidR="00022915" w:rsidRDefault="00022915" w:rsidP="00022915">
      <w:pPr>
        <w:pStyle w:val="Bullets1stindent"/>
      </w:pPr>
      <w:r>
        <w:t>comments received are mostly supportive of the proposed scheme;</w:t>
      </w:r>
    </w:p>
    <w:p w14:paraId="344813CA" w14:textId="77777777" w:rsidR="00022915" w:rsidRDefault="00022915" w:rsidP="00022915">
      <w:pPr>
        <w:pStyle w:val="Bullets1stindent"/>
      </w:pPr>
      <w:r>
        <w:t xml:space="preserve">across the range of beverage container </w:t>
      </w:r>
      <w:r w:rsidRPr="003D79D5">
        <w:t>material</w:t>
      </w:r>
      <w:r>
        <w:t>s</w:t>
      </w:r>
      <w:r w:rsidRPr="003D79D5">
        <w:t>, most containers used in</w:t>
      </w:r>
      <w:r>
        <w:t xml:space="preserve"> Western Australia </w:t>
      </w:r>
      <w:r w:rsidRPr="003D79D5">
        <w:t>in 201</w:t>
      </w:r>
      <w:r>
        <w:t>7</w:t>
      </w:r>
      <w:r w:rsidRPr="003D79D5">
        <w:t xml:space="preserve"> </w:t>
      </w:r>
      <w:r>
        <w:t>are</w:t>
      </w:r>
      <w:r w:rsidRPr="003D79D5">
        <w:t xml:space="preserve"> proposed to be covered by the scheme</w:t>
      </w:r>
      <w:r>
        <w:t xml:space="preserve"> (see </w:t>
      </w:r>
      <w:r>
        <w:fldChar w:fldCharType="begin"/>
      </w:r>
      <w:r>
        <w:instrText xml:space="preserve"> REF _Ref479596776 \h </w:instrText>
      </w:r>
      <w:r>
        <w:fldChar w:fldCharType="separate"/>
      </w:r>
      <w:r w:rsidRPr="006F4E89">
        <w:t xml:space="preserve">Table </w:t>
      </w:r>
      <w:r>
        <w:rPr>
          <w:noProof/>
        </w:rPr>
        <w:t>2</w:t>
      </w:r>
      <w:r>
        <w:fldChar w:fldCharType="end"/>
      </w:r>
      <w:r>
        <w:t xml:space="preserve"> below); and</w:t>
      </w:r>
    </w:p>
    <w:p w14:paraId="4C2C0758" w14:textId="77777777" w:rsidR="00022915" w:rsidRDefault="00022915" w:rsidP="00022915">
      <w:pPr>
        <w:pStyle w:val="Bullets1stindent"/>
      </w:pPr>
      <w:r>
        <w:t>the intended objectives of the scheme are best achieved by:</w:t>
      </w:r>
    </w:p>
    <w:p w14:paraId="5022A870" w14:textId="77777777" w:rsidR="00022915" w:rsidRDefault="00022915" w:rsidP="00022915">
      <w:pPr>
        <w:pStyle w:val="Bullets2ndindent"/>
      </w:pPr>
      <w:r>
        <w:t xml:space="preserve">implementing a scheme broadly consistent with other jurisdictions as soon as possible (i.e. not delaying the introduction of a scheme in Western Australia any further); </w:t>
      </w:r>
    </w:p>
    <w:p w14:paraId="5CA4B8FC" w14:textId="77777777" w:rsidR="00022915" w:rsidRDefault="00022915" w:rsidP="00022915">
      <w:pPr>
        <w:pStyle w:val="Bullets2ndindent"/>
      </w:pPr>
      <w:r>
        <w:t xml:space="preserve">having regard to the COAG and mutual recognition frameworks (see section </w:t>
      </w:r>
      <w:r>
        <w:fldChar w:fldCharType="begin"/>
      </w:r>
      <w:r>
        <w:instrText xml:space="preserve"> REF _Ref536607963 \r \h </w:instrText>
      </w:r>
      <w:r>
        <w:fldChar w:fldCharType="separate"/>
      </w:r>
      <w:r>
        <w:t>1.3</w:t>
      </w:r>
      <w:r>
        <w:fldChar w:fldCharType="end"/>
      </w:r>
      <w:r>
        <w:t xml:space="preserve"> and </w:t>
      </w:r>
      <w:r>
        <w:fldChar w:fldCharType="begin"/>
      </w:r>
      <w:r>
        <w:instrText xml:space="preserve"> REF _Ref536607966 \r \h </w:instrText>
      </w:r>
      <w:r>
        <w:fldChar w:fldCharType="separate"/>
      </w:r>
      <w:r>
        <w:t>1.4</w:t>
      </w:r>
      <w:r>
        <w:fldChar w:fldCharType="end"/>
      </w:r>
      <w:r>
        <w:t>); and</w:t>
      </w:r>
    </w:p>
    <w:p w14:paraId="365995C1" w14:textId="77777777" w:rsidR="00022915" w:rsidRDefault="00022915" w:rsidP="00022915">
      <w:pPr>
        <w:pStyle w:val="Bullets2ndindent"/>
      </w:pPr>
      <w:r>
        <w:t>any consideration of expansion of the scope of the scheme to be addressed by working with other CDS jurisdictions to form broadly consistent CDS schemes.</w:t>
      </w:r>
    </w:p>
    <w:p w14:paraId="25D2F0C5" w14:textId="77777777" w:rsidR="00022915" w:rsidRDefault="00022915" w:rsidP="00022915">
      <w:r w:rsidRPr="00E847BD">
        <w:t>In principle, the Western Australian Government supports a national CDS, and is already working with other jurisdictions</w:t>
      </w:r>
      <w:r>
        <w:t>. Issues such as further scheme harmonisation and extension of scope are discussed at regular National Waste Working Group, Heads of EPA, and Senior Officers Group meetings.</w:t>
      </w:r>
      <w:r>
        <w:rPr>
          <w:rStyle w:val="FootnoteReference"/>
        </w:rPr>
        <w:footnoteReference w:id="27"/>
      </w:r>
      <w:r>
        <w:t xml:space="preserve">  </w:t>
      </w:r>
      <w:r w:rsidRPr="00E847BD">
        <w:t xml:space="preserve"> </w:t>
      </w:r>
    </w:p>
    <w:p w14:paraId="286B7F5F" w14:textId="77777777" w:rsidR="00022915" w:rsidRDefault="00022915" w:rsidP="00022915">
      <w:r>
        <w:t>The advantages and disadvantages of broadening the scope were considered and it was decided that on balance, the proposed scope set out in the Consultation RIS should be retained.</w:t>
      </w:r>
    </w:p>
    <w:p w14:paraId="3F023621" w14:textId="77777777" w:rsidR="00022915" w:rsidRPr="00B012FA" w:rsidRDefault="00022915" w:rsidP="00022915">
      <w:pPr>
        <w:pStyle w:val="Caption"/>
        <w:spacing w:before="240"/>
      </w:pPr>
      <w:bookmarkStart w:id="67" w:name="_Ref479596776"/>
      <w:bookmarkStart w:id="68" w:name="_Toc479850399"/>
      <w:bookmarkStart w:id="69" w:name="_Ref536611385"/>
      <w:bookmarkStart w:id="70" w:name="_Toc10031211"/>
      <w:r w:rsidRPr="006F4E89">
        <w:t xml:space="preserve">Table </w:t>
      </w:r>
      <w:r w:rsidR="00CF34D3">
        <w:rPr>
          <w:noProof/>
        </w:rPr>
        <w:fldChar w:fldCharType="begin"/>
      </w:r>
      <w:r w:rsidR="00CF34D3">
        <w:rPr>
          <w:noProof/>
        </w:rPr>
        <w:instrText xml:space="preserve"> SEQ Table \* ARABIC </w:instrText>
      </w:r>
      <w:r w:rsidR="00CF34D3">
        <w:rPr>
          <w:noProof/>
        </w:rPr>
        <w:fldChar w:fldCharType="separate"/>
      </w:r>
      <w:r>
        <w:rPr>
          <w:noProof/>
        </w:rPr>
        <w:t>2</w:t>
      </w:r>
      <w:r w:rsidR="00CF34D3">
        <w:rPr>
          <w:noProof/>
        </w:rPr>
        <w:fldChar w:fldCharType="end"/>
      </w:r>
      <w:bookmarkEnd w:id="67"/>
      <w:r w:rsidRPr="006F4E89">
        <w:t>: Containers to be covered by the</w:t>
      </w:r>
      <w:r>
        <w:t xml:space="preserve"> Western Australian </w:t>
      </w:r>
      <w:r w:rsidRPr="006F4E89">
        <w:t xml:space="preserve">CDS (2017 </w:t>
      </w:r>
      <w:r w:rsidRPr="00AC3A29">
        <w:t>financial year</w:t>
      </w:r>
      <w:r w:rsidRPr="006F4E89">
        <w:t>)</w:t>
      </w:r>
      <w:bookmarkEnd w:id="68"/>
      <w:bookmarkEnd w:id="69"/>
      <w:bookmarkEnd w:id="70"/>
    </w:p>
    <w:tbl>
      <w:tblPr>
        <w:tblStyle w:val="TableGrid80"/>
        <w:tblW w:w="5000" w:type="pct"/>
        <w:tblInd w:w="-5" w:type="dxa"/>
        <w:tblLayout w:type="fixed"/>
        <w:tblLook w:val="04A0" w:firstRow="1" w:lastRow="0" w:firstColumn="1" w:lastColumn="0" w:noHBand="0" w:noVBand="1"/>
        <w:tblCaption w:val="Containers to be covered by the Western Australian CDS"/>
        <w:tblDescription w:val="Table giving the number and weight of containers of different types of materials"/>
      </w:tblPr>
      <w:tblGrid>
        <w:gridCol w:w="2254"/>
        <w:gridCol w:w="2254"/>
        <w:gridCol w:w="2254"/>
        <w:gridCol w:w="2254"/>
      </w:tblGrid>
      <w:tr w:rsidR="00022915" w:rsidRPr="00B012FA" w14:paraId="008AC839" w14:textId="77777777" w:rsidTr="00C53AB1">
        <w:trPr>
          <w:trHeight w:val="77"/>
        </w:trPr>
        <w:tc>
          <w:tcPr>
            <w:tcW w:w="1250" w:type="pct"/>
            <w:shd w:val="clear" w:color="auto" w:fill="D9D9D9" w:themeFill="background1" w:themeFillShade="D9"/>
            <w:noWrap/>
            <w:vAlign w:val="center"/>
          </w:tcPr>
          <w:p w14:paraId="52E368ED" w14:textId="77777777" w:rsidR="00022915" w:rsidRPr="00BD5687" w:rsidRDefault="00022915" w:rsidP="00C53AB1">
            <w:pPr>
              <w:pStyle w:val="TableHeadingCenter"/>
              <w:spacing w:before="40"/>
              <w:rPr>
                <w:rFonts w:cs="Arial"/>
                <w:szCs w:val="20"/>
              </w:rPr>
            </w:pPr>
            <w:r w:rsidRPr="00BD5687">
              <w:rPr>
                <w:rFonts w:cs="Arial"/>
                <w:szCs w:val="20"/>
              </w:rPr>
              <w:t>Container material</w:t>
            </w:r>
          </w:p>
        </w:tc>
        <w:tc>
          <w:tcPr>
            <w:tcW w:w="1250" w:type="pct"/>
            <w:shd w:val="clear" w:color="auto" w:fill="D9D9D9" w:themeFill="background1" w:themeFillShade="D9"/>
            <w:noWrap/>
            <w:vAlign w:val="center"/>
          </w:tcPr>
          <w:p w14:paraId="793D3D3C" w14:textId="77777777" w:rsidR="00022915" w:rsidRPr="00BD5687" w:rsidRDefault="00022915" w:rsidP="00C53AB1">
            <w:pPr>
              <w:pStyle w:val="TableHeadingCenter"/>
              <w:spacing w:before="40"/>
              <w:rPr>
                <w:rFonts w:cs="Arial"/>
                <w:szCs w:val="20"/>
              </w:rPr>
            </w:pPr>
            <w:r w:rsidRPr="00BD5687">
              <w:rPr>
                <w:rFonts w:cs="Arial"/>
                <w:szCs w:val="20"/>
              </w:rPr>
              <w:t>Number of containers in the CDS</w:t>
            </w:r>
            <w:r>
              <w:rPr>
                <w:rFonts w:cs="Arial"/>
                <w:szCs w:val="20"/>
              </w:rPr>
              <w:br/>
            </w:r>
            <w:r w:rsidRPr="00BD5687">
              <w:rPr>
                <w:rFonts w:cs="Arial"/>
                <w:szCs w:val="20"/>
              </w:rPr>
              <w:t>(150mL – 3L)</w:t>
            </w:r>
          </w:p>
        </w:tc>
        <w:tc>
          <w:tcPr>
            <w:tcW w:w="1250" w:type="pct"/>
            <w:shd w:val="clear" w:color="auto" w:fill="D9D9D9" w:themeFill="background1" w:themeFillShade="D9"/>
            <w:vAlign w:val="center"/>
          </w:tcPr>
          <w:p w14:paraId="3D6331A4" w14:textId="77777777" w:rsidR="00022915" w:rsidRPr="00BD5687" w:rsidRDefault="00022915" w:rsidP="00C53AB1">
            <w:pPr>
              <w:pStyle w:val="TableHeadingCenter"/>
              <w:spacing w:before="40"/>
              <w:rPr>
                <w:rFonts w:cs="Arial"/>
                <w:szCs w:val="20"/>
              </w:rPr>
            </w:pPr>
            <w:r w:rsidRPr="00BD5687">
              <w:rPr>
                <w:rFonts w:cs="Arial"/>
                <w:szCs w:val="20"/>
              </w:rPr>
              <w:t>Proportion of total covered by CDS (150mL – 3L)</w:t>
            </w:r>
          </w:p>
        </w:tc>
        <w:tc>
          <w:tcPr>
            <w:tcW w:w="1250" w:type="pct"/>
            <w:shd w:val="clear" w:color="auto" w:fill="D9D9D9" w:themeFill="background1" w:themeFillShade="D9"/>
            <w:vAlign w:val="center"/>
          </w:tcPr>
          <w:p w14:paraId="21742A62" w14:textId="77777777" w:rsidR="00022915" w:rsidRPr="00BD5687" w:rsidRDefault="00022915" w:rsidP="00C53AB1">
            <w:pPr>
              <w:pStyle w:val="TableHeadingCenter"/>
              <w:spacing w:before="40"/>
              <w:rPr>
                <w:rFonts w:cs="Arial"/>
                <w:szCs w:val="20"/>
                <w:highlight w:val="red"/>
              </w:rPr>
            </w:pPr>
            <w:r w:rsidRPr="00BD5687">
              <w:rPr>
                <w:rFonts w:cs="Arial"/>
                <w:szCs w:val="20"/>
              </w:rPr>
              <w:t>Weight (tonnes) of containers to be covered by the CDS (150mL – 3L)</w:t>
            </w:r>
          </w:p>
        </w:tc>
      </w:tr>
      <w:tr w:rsidR="00022915" w:rsidRPr="00B012FA" w14:paraId="01F754EB" w14:textId="77777777" w:rsidTr="00C53AB1">
        <w:trPr>
          <w:trHeight w:val="278"/>
        </w:trPr>
        <w:tc>
          <w:tcPr>
            <w:tcW w:w="1250" w:type="pct"/>
            <w:noWrap/>
            <w:vAlign w:val="center"/>
            <w:hideMark/>
          </w:tcPr>
          <w:p w14:paraId="672FE548" w14:textId="77777777" w:rsidR="00022915" w:rsidRPr="00BD5687" w:rsidRDefault="00022915" w:rsidP="00C53AB1">
            <w:pPr>
              <w:pStyle w:val="Tabletext0"/>
              <w:spacing w:before="40" w:after="40"/>
              <w:rPr>
                <w:rFonts w:cs="Arial"/>
                <w:szCs w:val="20"/>
              </w:rPr>
            </w:pPr>
            <w:r w:rsidRPr="00BD5687">
              <w:rPr>
                <w:rFonts w:cs="Arial"/>
                <w:szCs w:val="20"/>
              </w:rPr>
              <w:t>Liquid paperboard</w:t>
            </w:r>
          </w:p>
        </w:tc>
        <w:tc>
          <w:tcPr>
            <w:tcW w:w="1250" w:type="pct"/>
            <w:noWrap/>
          </w:tcPr>
          <w:p w14:paraId="337BEC4D" w14:textId="77777777" w:rsidR="00022915" w:rsidRPr="00BD5687" w:rsidRDefault="00022915" w:rsidP="00C53AB1">
            <w:pPr>
              <w:pStyle w:val="Tabletext0"/>
              <w:tabs>
                <w:tab w:val="decimal" w:pos="1254"/>
              </w:tabs>
              <w:spacing w:before="40" w:after="40"/>
              <w:jc w:val="center"/>
              <w:rPr>
                <w:rFonts w:cs="Arial"/>
                <w:szCs w:val="20"/>
                <w:highlight w:val="red"/>
              </w:rPr>
            </w:pPr>
            <w:r w:rsidRPr="00BD5687">
              <w:rPr>
                <w:rFonts w:cs="Arial"/>
                <w:szCs w:val="20"/>
              </w:rPr>
              <w:t>31,289,547</w:t>
            </w:r>
          </w:p>
        </w:tc>
        <w:tc>
          <w:tcPr>
            <w:tcW w:w="1250" w:type="pct"/>
          </w:tcPr>
          <w:p w14:paraId="34250F8E" w14:textId="77777777" w:rsidR="00022915" w:rsidRPr="00BD5687" w:rsidRDefault="00022915" w:rsidP="00C53AB1">
            <w:pPr>
              <w:pStyle w:val="Tabletext0"/>
              <w:tabs>
                <w:tab w:val="decimal" w:pos="1254"/>
              </w:tabs>
              <w:spacing w:before="40" w:after="40"/>
              <w:jc w:val="center"/>
              <w:rPr>
                <w:rFonts w:cs="Arial"/>
                <w:szCs w:val="20"/>
              </w:rPr>
            </w:pPr>
            <w:r w:rsidRPr="00BD5687">
              <w:rPr>
                <w:rFonts w:cs="Arial"/>
                <w:szCs w:val="20"/>
              </w:rPr>
              <w:t>49.19%</w:t>
            </w:r>
          </w:p>
        </w:tc>
        <w:tc>
          <w:tcPr>
            <w:tcW w:w="1250" w:type="pct"/>
          </w:tcPr>
          <w:p w14:paraId="0CD27C4D" w14:textId="77777777" w:rsidR="00022915" w:rsidRPr="00BD5687" w:rsidRDefault="00022915" w:rsidP="00C53AB1">
            <w:pPr>
              <w:pStyle w:val="Tabletext0"/>
              <w:tabs>
                <w:tab w:val="decimal" w:pos="1254"/>
              </w:tabs>
              <w:spacing w:before="40" w:after="40"/>
              <w:jc w:val="center"/>
              <w:rPr>
                <w:rFonts w:cs="Arial"/>
                <w:szCs w:val="20"/>
              </w:rPr>
            </w:pPr>
            <w:r w:rsidRPr="00BD5687">
              <w:rPr>
                <w:rFonts w:cs="Arial"/>
                <w:szCs w:val="20"/>
              </w:rPr>
              <w:t>652</w:t>
            </w:r>
          </w:p>
        </w:tc>
      </w:tr>
      <w:tr w:rsidR="00022915" w:rsidRPr="00B012FA" w14:paraId="5E2A8079" w14:textId="77777777" w:rsidTr="00C53AB1">
        <w:trPr>
          <w:trHeight w:val="278"/>
        </w:trPr>
        <w:tc>
          <w:tcPr>
            <w:tcW w:w="1250" w:type="pct"/>
            <w:noWrap/>
            <w:vAlign w:val="center"/>
            <w:hideMark/>
          </w:tcPr>
          <w:p w14:paraId="08815EAB" w14:textId="77777777" w:rsidR="00022915" w:rsidRPr="00BD5687" w:rsidRDefault="00022915" w:rsidP="00C53AB1">
            <w:pPr>
              <w:pStyle w:val="Tabletext0"/>
              <w:spacing w:before="40" w:after="40"/>
              <w:rPr>
                <w:rFonts w:cs="Arial"/>
                <w:szCs w:val="20"/>
              </w:rPr>
            </w:pPr>
            <w:r w:rsidRPr="00BD5687">
              <w:rPr>
                <w:rFonts w:cs="Arial"/>
                <w:szCs w:val="20"/>
              </w:rPr>
              <w:t>Glass</w:t>
            </w:r>
          </w:p>
        </w:tc>
        <w:tc>
          <w:tcPr>
            <w:tcW w:w="1250" w:type="pct"/>
            <w:noWrap/>
          </w:tcPr>
          <w:p w14:paraId="66196870" w14:textId="77777777" w:rsidR="00022915" w:rsidRPr="00BD5687" w:rsidRDefault="00022915" w:rsidP="00C53AB1">
            <w:pPr>
              <w:pStyle w:val="Tabletext0"/>
              <w:tabs>
                <w:tab w:val="decimal" w:pos="1254"/>
              </w:tabs>
              <w:spacing w:before="40" w:after="40"/>
              <w:jc w:val="center"/>
              <w:rPr>
                <w:rFonts w:cs="Arial"/>
                <w:szCs w:val="20"/>
                <w:highlight w:val="red"/>
              </w:rPr>
            </w:pPr>
            <w:r w:rsidRPr="00BD5687">
              <w:rPr>
                <w:rFonts w:cs="Arial"/>
                <w:szCs w:val="20"/>
              </w:rPr>
              <w:t>373,018,069</w:t>
            </w:r>
          </w:p>
        </w:tc>
        <w:tc>
          <w:tcPr>
            <w:tcW w:w="1250" w:type="pct"/>
          </w:tcPr>
          <w:p w14:paraId="77C888DC" w14:textId="77777777" w:rsidR="00022915" w:rsidRPr="00BD5687" w:rsidRDefault="00022915" w:rsidP="00C53AB1">
            <w:pPr>
              <w:pStyle w:val="Tabletext0"/>
              <w:tabs>
                <w:tab w:val="decimal" w:pos="1254"/>
              </w:tabs>
              <w:spacing w:before="40" w:after="40"/>
              <w:jc w:val="center"/>
              <w:rPr>
                <w:rFonts w:cs="Arial"/>
                <w:szCs w:val="20"/>
              </w:rPr>
            </w:pPr>
            <w:r w:rsidRPr="00BD5687">
              <w:rPr>
                <w:rFonts w:cs="Arial"/>
                <w:szCs w:val="20"/>
              </w:rPr>
              <w:t>70.07%</w:t>
            </w:r>
          </w:p>
        </w:tc>
        <w:tc>
          <w:tcPr>
            <w:tcW w:w="1250" w:type="pct"/>
          </w:tcPr>
          <w:p w14:paraId="63375E53" w14:textId="77777777" w:rsidR="00022915" w:rsidRPr="00BD5687" w:rsidRDefault="00022915" w:rsidP="00C53AB1">
            <w:pPr>
              <w:pStyle w:val="Tabletext0"/>
              <w:tabs>
                <w:tab w:val="decimal" w:pos="1254"/>
              </w:tabs>
              <w:spacing w:before="40" w:after="40"/>
              <w:jc w:val="center"/>
              <w:rPr>
                <w:rFonts w:cs="Arial"/>
                <w:szCs w:val="20"/>
              </w:rPr>
            </w:pPr>
            <w:r w:rsidRPr="00BD5687">
              <w:rPr>
                <w:rFonts w:cs="Arial"/>
                <w:szCs w:val="20"/>
              </w:rPr>
              <w:t>82,893</w:t>
            </w:r>
          </w:p>
        </w:tc>
      </w:tr>
      <w:tr w:rsidR="00022915" w:rsidRPr="00B012FA" w14:paraId="0969AA93" w14:textId="77777777" w:rsidTr="00C53AB1">
        <w:trPr>
          <w:trHeight w:val="278"/>
        </w:trPr>
        <w:tc>
          <w:tcPr>
            <w:tcW w:w="1250" w:type="pct"/>
            <w:noWrap/>
            <w:vAlign w:val="center"/>
            <w:hideMark/>
          </w:tcPr>
          <w:p w14:paraId="1F8F987F" w14:textId="77777777" w:rsidR="00022915" w:rsidRPr="00BD5687" w:rsidRDefault="00022915" w:rsidP="00C53AB1">
            <w:pPr>
              <w:pStyle w:val="Tabletext0"/>
              <w:spacing w:before="40" w:after="40"/>
              <w:rPr>
                <w:rFonts w:cs="Arial"/>
                <w:szCs w:val="20"/>
              </w:rPr>
            </w:pPr>
            <w:r w:rsidRPr="00BD5687">
              <w:rPr>
                <w:rFonts w:cs="Arial"/>
                <w:szCs w:val="20"/>
              </w:rPr>
              <w:t>PET</w:t>
            </w:r>
          </w:p>
        </w:tc>
        <w:tc>
          <w:tcPr>
            <w:tcW w:w="1250" w:type="pct"/>
            <w:noWrap/>
          </w:tcPr>
          <w:p w14:paraId="62DA013F" w14:textId="77777777" w:rsidR="00022915" w:rsidRPr="00BD5687" w:rsidRDefault="00022915" w:rsidP="00C53AB1">
            <w:pPr>
              <w:pStyle w:val="Tabletext0"/>
              <w:tabs>
                <w:tab w:val="decimal" w:pos="1254"/>
              </w:tabs>
              <w:spacing w:before="40" w:after="40"/>
              <w:jc w:val="center"/>
              <w:rPr>
                <w:rFonts w:cs="Arial"/>
                <w:szCs w:val="20"/>
                <w:highlight w:val="red"/>
              </w:rPr>
            </w:pPr>
            <w:r w:rsidRPr="00BD5687">
              <w:rPr>
                <w:rFonts w:cs="Arial"/>
                <w:szCs w:val="20"/>
              </w:rPr>
              <w:t>375,027,510</w:t>
            </w:r>
          </w:p>
        </w:tc>
        <w:tc>
          <w:tcPr>
            <w:tcW w:w="1250" w:type="pct"/>
          </w:tcPr>
          <w:p w14:paraId="606EC82B" w14:textId="77777777" w:rsidR="00022915" w:rsidRPr="00BD5687" w:rsidRDefault="00022915" w:rsidP="00C53AB1">
            <w:pPr>
              <w:pStyle w:val="Tabletext0"/>
              <w:tabs>
                <w:tab w:val="decimal" w:pos="1254"/>
              </w:tabs>
              <w:spacing w:before="40" w:after="40"/>
              <w:jc w:val="center"/>
              <w:rPr>
                <w:rFonts w:cs="Arial"/>
                <w:szCs w:val="20"/>
              </w:rPr>
            </w:pPr>
            <w:r w:rsidRPr="00BD5687">
              <w:rPr>
                <w:rFonts w:cs="Arial"/>
                <w:szCs w:val="20"/>
              </w:rPr>
              <w:t>91.37%</w:t>
            </w:r>
          </w:p>
        </w:tc>
        <w:tc>
          <w:tcPr>
            <w:tcW w:w="1250" w:type="pct"/>
          </w:tcPr>
          <w:p w14:paraId="1502043F" w14:textId="77777777" w:rsidR="00022915" w:rsidRPr="00BD5687" w:rsidRDefault="00022915" w:rsidP="00C53AB1">
            <w:pPr>
              <w:pStyle w:val="Tabletext0"/>
              <w:tabs>
                <w:tab w:val="decimal" w:pos="1254"/>
              </w:tabs>
              <w:spacing w:before="40" w:after="40"/>
              <w:jc w:val="center"/>
              <w:rPr>
                <w:rFonts w:cs="Arial"/>
                <w:szCs w:val="20"/>
              </w:rPr>
            </w:pPr>
            <w:r w:rsidRPr="00BD5687">
              <w:rPr>
                <w:rFonts w:cs="Arial"/>
                <w:szCs w:val="20"/>
              </w:rPr>
              <w:t>12,932</w:t>
            </w:r>
          </w:p>
        </w:tc>
      </w:tr>
      <w:tr w:rsidR="00022915" w:rsidRPr="00B012FA" w14:paraId="0549D15F" w14:textId="77777777" w:rsidTr="00C53AB1">
        <w:trPr>
          <w:trHeight w:val="278"/>
        </w:trPr>
        <w:tc>
          <w:tcPr>
            <w:tcW w:w="1250" w:type="pct"/>
            <w:noWrap/>
            <w:vAlign w:val="center"/>
            <w:hideMark/>
          </w:tcPr>
          <w:p w14:paraId="35C17A08" w14:textId="77777777" w:rsidR="00022915" w:rsidRPr="00BD5687" w:rsidRDefault="00022915" w:rsidP="00C53AB1">
            <w:pPr>
              <w:pStyle w:val="Tabletext0"/>
              <w:spacing w:before="40" w:after="40"/>
              <w:rPr>
                <w:rFonts w:cs="Arial"/>
                <w:szCs w:val="20"/>
              </w:rPr>
            </w:pPr>
            <w:r w:rsidRPr="00BD5687">
              <w:rPr>
                <w:rFonts w:cs="Arial"/>
                <w:szCs w:val="20"/>
              </w:rPr>
              <w:t>HDPE</w:t>
            </w:r>
          </w:p>
        </w:tc>
        <w:tc>
          <w:tcPr>
            <w:tcW w:w="1250" w:type="pct"/>
            <w:noWrap/>
          </w:tcPr>
          <w:p w14:paraId="5A735A53" w14:textId="77777777" w:rsidR="00022915" w:rsidRPr="00BD5687" w:rsidRDefault="00022915" w:rsidP="00C53AB1">
            <w:pPr>
              <w:pStyle w:val="Tabletext0"/>
              <w:tabs>
                <w:tab w:val="decimal" w:pos="1254"/>
              </w:tabs>
              <w:spacing w:before="40" w:after="40"/>
              <w:jc w:val="center"/>
              <w:rPr>
                <w:rFonts w:cs="Arial"/>
                <w:szCs w:val="20"/>
                <w:highlight w:val="red"/>
              </w:rPr>
            </w:pPr>
            <w:r w:rsidRPr="00BD5687">
              <w:rPr>
                <w:rFonts w:cs="Arial"/>
                <w:szCs w:val="20"/>
              </w:rPr>
              <w:t>19,225,126</w:t>
            </w:r>
          </w:p>
        </w:tc>
        <w:tc>
          <w:tcPr>
            <w:tcW w:w="1250" w:type="pct"/>
          </w:tcPr>
          <w:p w14:paraId="165CFEB1" w14:textId="77777777" w:rsidR="00022915" w:rsidRPr="00BD5687" w:rsidRDefault="00022915" w:rsidP="00C53AB1">
            <w:pPr>
              <w:pStyle w:val="Tabletext0"/>
              <w:tabs>
                <w:tab w:val="decimal" w:pos="1254"/>
              </w:tabs>
              <w:spacing w:before="40" w:after="40"/>
              <w:jc w:val="center"/>
              <w:rPr>
                <w:rFonts w:cs="Arial"/>
                <w:szCs w:val="20"/>
              </w:rPr>
            </w:pPr>
            <w:r w:rsidRPr="00BD5687">
              <w:rPr>
                <w:rFonts w:cs="Arial"/>
                <w:szCs w:val="20"/>
              </w:rPr>
              <w:t>6.32%</w:t>
            </w:r>
          </w:p>
        </w:tc>
        <w:tc>
          <w:tcPr>
            <w:tcW w:w="1250" w:type="pct"/>
          </w:tcPr>
          <w:p w14:paraId="08A38C4B" w14:textId="77777777" w:rsidR="00022915" w:rsidRPr="00BD5687" w:rsidRDefault="00022915" w:rsidP="00C53AB1">
            <w:pPr>
              <w:pStyle w:val="Tabletext0"/>
              <w:tabs>
                <w:tab w:val="decimal" w:pos="1254"/>
              </w:tabs>
              <w:spacing w:before="40" w:after="40"/>
              <w:jc w:val="center"/>
              <w:rPr>
                <w:rFonts w:cs="Arial"/>
                <w:szCs w:val="20"/>
              </w:rPr>
            </w:pPr>
            <w:r w:rsidRPr="00BD5687">
              <w:rPr>
                <w:rFonts w:cs="Arial"/>
                <w:szCs w:val="20"/>
              </w:rPr>
              <w:t>961</w:t>
            </w:r>
          </w:p>
        </w:tc>
      </w:tr>
      <w:tr w:rsidR="00022915" w:rsidRPr="00B012FA" w14:paraId="0ACEF65E" w14:textId="77777777" w:rsidTr="00C53AB1">
        <w:trPr>
          <w:trHeight w:val="278"/>
        </w:trPr>
        <w:tc>
          <w:tcPr>
            <w:tcW w:w="1250" w:type="pct"/>
            <w:noWrap/>
            <w:vAlign w:val="center"/>
            <w:hideMark/>
          </w:tcPr>
          <w:p w14:paraId="7BF1DEDB" w14:textId="77777777" w:rsidR="00022915" w:rsidRPr="00BD5687" w:rsidRDefault="00022915" w:rsidP="00C53AB1">
            <w:pPr>
              <w:pStyle w:val="Tabletext0"/>
              <w:spacing w:before="40" w:after="40"/>
              <w:rPr>
                <w:rFonts w:cs="Arial"/>
                <w:szCs w:val="20"/>
              </w:rPr>
            </w:pPr>
            <w:r w:rsidRPr="00BD5687">
              <w:rPr>
                <w:rFonts w:cs="Arial"/>
                <w:szCs w:val="20"/>
              </w:rPr>
              <w:t>Aluminium</w:t>
            </w:r>
          </w:p>
        </w:tc>
        <w:tc>
          <w:tcPr>
            <w:tcW w:w="1250" w:type="pct"/>
            <w:noWrap/>
          </w:tcPr>
          <w:p w14:paraId="08FF845A" w14:textId="77777777" w:rsidR="00022915" w:rsidRPr="00BD5687" w:rsidRDefault="00022915" w:rsidP="00C53AB1">
            <w:pPr>
              <w:pStyle w:val="Tabletext0"/>
              <w:tabs>
                <w:tab w:val="decimal" w:pos="1254"/>
              </w:tabs>
              <w:spacing w:before="40" w:after="40"/>
              <w:jc w:val="center"/>
              <w:rPr>
                <w:rFonts w:cs="Arial"/>
                <w:szCs w:val="20"/>
                <w:highlight w:val="red"/>
              </w:rPr>
            </w:pPr>
            <w:r w:rsidRPr="00BD5687">
              <w:rPr>
                <w:rFonts w:cs="Arial"/>
                <w:szCs w:val="20"/>
              </w:rPr>
              <w:t>501,439,748</w:t>
            </w:r>
          </w:p>
        </w:tc>
        <w:tc>
          <w:tcPr>
            <w:tcW w:w="1250" w:type="pct"/>
          </w:tcPr>
          <w:p w14:paraId="4D852FDC" w14:textId="77777777" w:rsidR="00022915" w:rsidRPr="00BD5687" w:rsidRDefault="00022915" w:rsidP="00C53AB1">
            <w:pPr>
              <w:pStyle w:val="Tabletext0"/>
              <w:tabs>
                <w:tab w:val="decimal" w:pos="1254"/>
              </w:tabs>
              <w:spacing w:before="40" w:after="40"/>
              <w:jc w:val="center"/>
              <w:rPr>
                <w:rFonts w:cs="Arial"/>
                <w:szCs w:val="20"/>
              </w:rPr>
            </w:pPr>
            <w:r w:rsidRPr="00BD5687">
              <w:rPr>
                <w:rFonts w:cs="Arial"/>
                <w:szCs w:val="20"/>
              </w:rPr>
              <w:t>100.00%</w:t>
            </w:r>
          </w:p>
        </w:tc>
        <w:tc>
          <w:tcPr>
            <w:tcW w:w="1250" w:type="pct"/>
          </w:tcPr>
          <w:p w14:paraId="0989E97C" w14:textId="77777777" w:rsidR="00022915" w:rsidRPr="00BD5687" w:rsidRDefault="00022915" w:rsidP="00C53AB1">
            <w:pPr>
              <w:pStyle w:val="Tabletext0"/>
              <w:tabs>
                <w:tab w:val="decimal" w:pos="1254"/>
              </w:tabs>
              <w:spacing w:before="40" w:after="40"/>
              <w:jc w:val="center"/>
              <w:rPr>
                <w:rFonts w:cs="Arial"/>
                <w:szCs w:val="20"/>
              </w:rPr>
            </w:pPr>
            <w:r w:rsidRPr="00BD5687">
              <w:rPr>
                <w:rFonts w:cs="Arial"/>
                <w:szCs w:val="20"/>
              </w:rPr>
              <w:t>7,163</w:t>
            </w:r>
          </w:p>
        </w:tc>
      </w:tr>
      <w:tr w:rsidR="00022915" w:rsidRPr="00B012FA" w14:paraId="2B931905" w14:textId="77777777" w:rsidTr="00C53AB1">
        <w:trPr>
          <w:trHeight w:val="278"/>
        </w:trPr>
        <w:tc>
          <w:tcPr>
            <w:tcW w:w="1250" w:type="pct"/>
            <w:noWrap/>
            <w:vAlign w:val="center"/>
            <w:hideMark/>
          </w:tcPr>
          <w:p w14:paraId="40CE3017" w14:textId="77777777" w:rsidR="00022915" w:rsidRPr="00BD5687" w:rsidRDefault="00022915" w:rsidP="00C53AB1">
            <w:pPr>
              <w:pStyle w:val="Tabletext0"/>
              <w:spacing w:before="40" w:after="40"/>
              <w:rPr>
                <w:rFonts w:cs="Arial"/>
                <w:b/>
                <w:szCs w:val="20"/>
              </w:rPr>
            </w:pPr>
            <w:r w:rsidRPr="00BD5687">
              <w:rPr>
                <w:rFonts w:cs="Arial"/>
                <w:b/>
                <w:szCs w:val="20"/>
              </w:rPr>
              <w:t>Total</w:t>
            </w:r>
          </w:p>
        </w:tc>
        <w:tc>
          <w:tcPr>
            <w:tcW w:w="1250" w:type="pct"/>
            <w:noWrap/>
          </w:tcPr>
          <w:p w14:paraId="4117C82F" w14:textId="77777777" w:rsidR="00022915" w:rsidRPr="00BD5687" w:rsidRDefault="00022915" w:rsidP="00C53AB1">
            <w:pPr>
              <w:pStyle w:val="Tabletext0"/>
              <w:tabs>
                <w:tab w:val="decimal" w:pos="1254"/>
              </w:tabs>
              <w:spacing w:before="40" w:after="40"/>
              <w:jc w:val="center"/>
              <w:rPr>
                <w:rFonts w:cs="Arial"/>
                <w:b/>
                <w:szCs w:val="20"/>
                <w:highlight w:val="red"/>
              </w:rPr>
            </w:pPr>
            <w:r w:rsidRPr="00BD5687">
              <w:rPr>
                <w:rFonts w:cs="Arial"/>
                <w:b/>
                <w:szCs w:val="20"/>
              </w:rPr>
              <w:t>1,300,000,000</w:t>
            </w:r>
          </w:p>
        </w:tc>
        <w:tc>
          <w:tcPr>
            <w:tcW w:w="1250" w:type="pct"/>
          </w:tcPr>
          <w:p w14:paraId="48678725" w14:textId="77777777" w:rsidR="00022915" w:rsidRPr="00BD5687" w:rsidRDefault="00022915" w:rsidP="00C53AB1">
            <w:pPr>
              <w:pStyle w:val="Tabletext0"/>
              <w:tabs>
                <w:tab w:val="decimal" w:pos="1254"/>
              </w:tabs>
              <w:spacing w:before="40" w:after="40"/>
              <w:jc w:val="center"/>
              <w:rPr>
                <w:rFonts w:cs="Arial"/>
                <w:b/>
                <w:szCs w:val="20"/>
              </w:rPr>
            </w:pPr>
            <w:r w:rsidRPr="00BD5687">
              <w:rPr>
                <w:rFonts w:cs="Arial"/>
                <w:b/>
                <w:szCs w:val="20"/>
              </w:rPr>
              <w:t>71.74%</w:t>
            </w:r>
          </w:p>
        </w:tc>
        <w:tc>
          <w:tcPr>
            <w:tcW w:w="1250" w:type="pct"/>
          </w:tcPr>
          <w:p w14:paraId="46B868A3" w14:textId="77777777" w:rsidR="00022915" w:rsidRPr="00BD5687" w:rsidRDefault="00022915" w:rsidP="00C53AB1">
            <w:pPr>
              <w:pStyle w:val="Tabletext0"/>
              <w:tabs>
                <w:tab w:val="decimal" w:pos="1254"/>
              </w:tabs>
              <w:spacing w:before="40" w:after="40"/>
              <w:jc w:val="center"/>
              <w:rPr>
                <w:rFonts w:cs="Arial"/>
                <w:b/>
                <w:szCs w:val="20"/>
                <w:highlight w:val="yellow"/>
              </w:rPr>
            </w:pPr>
            <w:r w:rsidRPr="00BD5687">
              <w:rPr>
                <w:rFonts w:cs="Arial"/>
                <w:b/>
                <w:szCs w:val="20"/>
              </w:rPr>
              <w:t>104,601</w:t>
            </w:r>
          </w:p>
        </w:tc>
      </w:tr>
    </w:tbl>
    <w:p w14:paraId="4533AC8F" w14:textId="77777777" w:rsidR="00022915" w:rsidRDefault="00022915" w:rsidP="00022915">
      <w:pPr>
        <w:pStyle w:val="DWERSource"/>
        <w:rPr>
          <w:lang w:eastAsia="en-AU"/>
        </w:rPr>
      </w:pPr>
      <w:r>
        <w:rPr>
          <w:lang w:eastAsia="en-AU"/>
        </w:rPr>
        <w:t>Source: Marsden Jacob Associates, 2018.</w:t>
      </w:r>
      <w:r w:rsidRPr="00EA2176">
        <w:rPr>
          <w:lang w:eastAsia="en-AU"/>
        </w:rPr>
        <w:t xml:space="preserve"> </w:t>
      </w:r>
    </w:p>
    <w:p w14:paraId="6A6FB852" w14:textId="77777777" w:rsidR="00022915" w:rsidRDefault="00022915" w:rsidP="00022915">
      <w:pPr>
        <w:pStyle w:val="DWERSource"/>
        <w:rPr>
          <w:lang w:eastAsia="en-AU"/>
        </w:rPr>
      </w:pPr>
      <w:r>
        <w:rPr>
          <w:lang w:eastAsia="en-AU"/>
        </w:rPr>
        <w:t xml:space="preserve">PET = </w:t>
      </w:r>
      <w:r w:rsidRPr="00CA0B14">
        <w:rPr>
          <w:lang w:eastAsia="en-AU"/>
        </w:rPr>
        <w:t>polyethylene terephthalate</w:t>
      </w:r>
      <w:r>
        <w:rPr>
          <w:lang w:eastAsia="en-AU"/>
        </w:rPr>
        <w:t>; HDPE = h</w:t>
      </w:r>
      <w:r w:rsidRPr="00CA0B14">
        <w:rPr>
          <w:lang w:eastAsia="en-AU"/>
        </w:rPr>
        <w:t>igh-density polyethylene</w:t>
      </w:r>
      <w:r>
        <w:rPr>
          <w:lang w:eastAsia="en-AU"/>
        </w:rPr>
        <w:t>.</w:t>
      </w:r>
    </w:p>
    <w:p w14:paraId="5AFF21D7" w14:textId="77777777" w:rsidR="00022915" w:rsidRPr="00D67FDF" w:rsidRDefault="00022915" w:rsidP="00022915">
      <w:pPr>
        <w:pStyle w:val="Heading3"/>
      </w:pPr>
      <w:r>
        <w:t>Refund</w:t>
      </w:r>
      <w:r w:rsidRPr="00D67FDF">
        <w:t xml:space="preserve"> points and infrastructure requirements</w:t>
      </w:r>
    </w:p>
    <w:p w14:paraId="08C21F35" w14:textId="77777777" w:rsidR="00022915" w:rsidRDefault="00022915" w:rsidP="00022915">
      <w:r w:rsidRPr="003D79D5">
        <w:t>The</w:t>
      </w:r>
      <w:r>
        <w:t xml:space="preserve"> Western Australian </w:t>
      </w:r>
      <w:r w:rsidRPr="003D79D5">
        <w:t xml:space="preserve">CDS </w:t>
      </w:r>
      <w:r>
        <w:t>is likely to</w:t>
      </w:r>
      <w:r w:rsidRPr="003D79D5">
        <w:t xml:space="preserve"> make use of the existing network of community recycling centres, depots and </w:t>
      </w:r>
      <w:r w:rsidRPr="00E80F3B">
        <w:t xml:space="preserve">material recovery </w:t>
      </w:r>
      <w:r w:rsidRPr="0083027F">
        <w:t xml:space="preserve">facilities </w:t>
      </w:r>
      <w:r w:rsidRPr="003D79D5">
        <w:t xml:space="preserve">in </w:t>
      </w:r>
      <w:r>
        <w:t>Western Australia.</w:t>
      </w:r>
      <w:r w:rsidRPr="003D79D5">
        <w:t xml:space="preserve"> </w:t>
      </w:r>
      <w:r>
        <w:t xml:space="preserve"> H</w:t>
      </w:r>
      <w:r w:rsidRPr="003D79D5">
        <w:t>owever</w:t>
      </w:r>
      <w:r>
        <w:t>,</w:t>
      </w:r>
      <w:r w:rsidRPr="003D79D5">
        <w:t xml:space="preserve"> additional </w:t>
      </w:r>
      <w:r>
        <w:t xml:space="preserve">refund points </w:t>
      </w:r>
      <w:r w:rsidRPr="003D79D5">
        <w:t>will open to receive the empty containers</w:t>
      </w:r>
      <w:r>
        <w:t xml:space="preserve"> to comply with minimum network standards, which are required under regulations</w:t>
      </w:r>
      <w:r w:rsidRPr="003D79D5">
        <w:t xml:space="preserve">. </w:t>
      </w:r>
    </w:p>
    <w:p w14:paraId="1A33EF86" w14:textId="77777777" w:rsidR="00022915" w:rsidRPr="00222881" w:rsidRDefault="00022915" w:rsidP="00022915">
      <w:r w:rsidRPr="00222881">
        <w:t xml:space="preserve">Due to the size and population spread in Western Australia, the CDS collection network will comprise both full-time and ‘flexible’ refund points.  Flexible points include regular part-time, mobile refund points and seasonal refund points.  Seasonal refund points are targeted at tourist areas and other transient populations, where the population increases significantly at specific times of the year.  </w:t>
      </w:r>
    </w:p>
    <w:p w14:paraId="5578B528" w14:textId="77777777" w:rsidR="00022915" w:rsidRPr="00222881" w:rsidRDefault="00022915" w:rsidP="00022915">
      <w:r w:rsidRPr="00222881">
        <w:t xml:space="preserve">Subsequent to submissions received by DWER, the Minimum Network Standards were revised to reflect the number of refund points considered necessary to achieve the scheme objectives (see section </w:t>
      </w:r>
      <w:r w:rsidRPr="00222881">
        <w:fldChar w:fldCharType="begin"/>
      </w:r>
      <w:r w:rsidRPr="00222881">
        <w:instrText xml:space="preserve"> REF _Ref536612689 \r \h  \* MERGEFORMAT </w:instrText>
      </w:r>
      <w:r w:rsidRPr="00222881">
        <w:fldChar w:fldCharType="separate"/>
      </w:r>
      <w:r>
        <w:t>2</w:t>
      </w:r>
      <w:r w:rsidRPr="00222881">
        <w:fldChar w:fldCharType="end"/>
      </w:r>
      <w:r w:rsidRPr="00222881">
        <w:t>). DWER’s response to public submissions to the consultation process is provided in the Minimum Network Standards consultation summary.</w:t>
      </w:r>
      <w:r w:rsidRPr="00222881">
        <w:rPr>
          <w:rStyle w:val="FootnoteReference"/>
        </w:rPr>
        <w:footnoteReference w:id="28"/>
      </w:r>
    </w:p>
    <w:p w14:paraId="12CA9255" w14:textId="77777777" w:rsidR="00022915" w:rsidRPr="00222881" w:rsidRDefault="00022915" w:rsidP="00022915">
      <w:r w:rsidRPr="00222881">
        <w:t xml:space="preserve">Based on the submissions, DWER reassessed the number of refund points necessary to achieve the required minimum levels of collection network numbers and coverage and now requires the scheme coordinator to provide a minimum of 229 refund points distributed across the state: </w:t>
      </w:r>
    </w:p>
    <w:p w14:paraId="005C6F58" w14:textId="77777777" w:rsidR="00022915" w:rsidRPr="00222881" w:rsidRDefault="00022915" w:rsidP="00022915">
      <w:pPr>
        <w:pStyle w:val="Bullets1stindent"/>
      </w:pPr>
      <w:r w:rsidRPr="00222881">
        <w:t>114 full</w:t>
      </w:r>
      <w:r w:rsidRPr="00222881">
        <w:noBreakHyphen/>
        <w:t xml:space="preserve">time refund points; and </w:t>
      </w:r>
    </w:p>
    <w:p w14:paraId="752839BD" w14:textId="77777777" w:rsidR="00022915" w:rsidRPr="00222881" w:rsidRDefault="00022915" w:rsidP="00022915">
      <w:pPr>
        <w:pStyle w:val="Bullets1stindent"/>
      </w:pPr>
      <w:r w:rsidRPr="00222881">
        <w:t>115 flexible refund points.</w:t>
      </w:r>
      <w:r w:rsidRPr="00222881">
        <w:rPr>
          <w:rStyle w:val="FootnoteReference"/>
        </w:rPr>
        <w:footnoteReference w:id="29"/>
      </w:r>
    </w:p>
    <w:p w14:paraId="233BFF66" w14:textId="77777777" w:rsidR="00022915" w:rsidRPr="00222881" w:rsidRDefault="00022915" w:rsidP="00022915">
      <w:r w:rsidRPr="00222881">
        <w:t xml:space="preserve">These minimum network standards are set out in detail in </w:t>
      </w:r>
      <w:r w:rsidRPr="00222881">
        <w:rPr>
          <w:i/>
        </w:rPr>
        <w:t>The Minimum network standards: Refund point locations and hours of operation</w:t>
      </w:r>
      <w:r w:rsidRPr="00222881">
        <w:t xml:space="preserve"> (DWER 2019).</w:t>
      </w:r>
      <w:r w:rsidRPr="00222881">
        <w:rPr>
          <w:rStyle w:val="FootnoteReference"/>
        </w:rPr>
        <w:footnoteReference w:id="30"/>
      </w:r>
    </w:p>
    <w:p w14:paraId="4FC1B7F5" w14:textId="77777777" w:rsidR="00022915" w:rsidRPr="00222881" w:rsidRDefault="00022915" w:rsidP="00022915">
      <w:r w:rsidRPr="00222881">
        <w:t xml:space="preserve">It was acknowledged that increasing the number of refund points would reduce the estimated benefit cost ratio (see section </w:t>
      </w:r>
      <w:r w:rsidRPr="00222881">
        <w:fldChar w:fldCharType="begin"/>
      </w:r>
      <w:r w:rsidRPr="00222881">
        <w:instrText xml:space="preserve"> REF _Ref536612563 \r \h  \* MERGEFORMAT </w:instrText>
      </w:r>
      <w:r w:rsidRPr="00222881">
        <w:fldChar w:fldCharType="separate"/>
      </w:r>
      <w:r>
        <w:t>4</w:t>
      </w:r>
      <w:r w:rsidRPr="00222881">
        <w:fldChar w:fldCharType="end"/>
      </w:r>
      <w:r w:rsidRPr="00222881">
        <w:t>) and may also impact on the quantities of eligible containers recovered by kerbside collection programs.  However, the increase in refund points was seen as necessary to ensure the program achieved the appropriate balance between the container target recovery rates and the delivery of scheme objectives such as:</w:t>
      </w:r>
    </w:p>
    <w:p w14:paraId="55BB0BEB" w14:textId="77777777" w:rsidR="00022915" w:rsidRPr="00222881" w:rsidRDefault="00022915" w:rsidP="00022915">
      <w:pPr>
        <w:pStyle w:val="Bullets1stindent"/>
      </w:pPr>
      <w:r w:rsidRPr="00222881">
        <w:t xml:space="preserve">increase the recovery and recycling of empty beverage containers; </w:t>
      </w:r>
    </w:p>
    <w:p w14:paraId="03C50F04" w14:textId="77777777" w:rsidR="00022915" w:rsidRPr="00222881" w:rsidRDefault="00022915" w:rsidP="00022915">
      <w:pPr>
        <w:pStyle w:val="Bullets1stindent"/>
      </w:pPr>
      <w:r w:rsidRPr="00222881">
        <w:t xml:space="preserve">reduce the number of empty beverage containers that are littered or disposed of to landfill; </w:t>
      </w:r>
    </w:p>
    <w:p w14:paraId="39DDBB5C" w14:textId="77777777" w:rsidR="00022915" w:rsidRPr="00222881" w:rsidRDefault="00022915" w:rsidP="00022915">
      <w:pPr>
        <w:pStyle w:val="Bullets1stindent"/>
      </w:pPr>
      <w:r w:rsidRPr="00222881">
        <w:t>provide opportunities for social enterprise, and benefits for community organisations, through participation in the scheme; and</w:t>
      </w:r>
    </w:p>
    <w:p w14:paraId="0A698706" w14:textId="77777777" w:rsidR="00022915" w:rsidRPr="00222881" w:rsidRDefault="00022915" w:rsidP="00022915">
      <w:pPr>
        <w:pStyle w:val="Bullets1stindent"/>
      </w:pPr>
      <w:r w:rsidRPr="00222881">
        <w:t>create opportunities for employment.</w:t>
      </w:r>
    </w:p>
    <w:p w14:paraId="0D6DB96A" w14:textId="77777777" w:rsidR="00022915" w:rsidRPr="00222881" w:rsidRDefault="00022915" w:rsidP="00022915">
      <w:pPr>
        <w:pStyle w:val="Heading2"/>
      </w:pPr>
      <w:bookmarkStart w:id="71" w:name="_Ref510522122"/>
      <w:bookmarkStart w:id="72" w:name="_Toc9375370"/>
      <w:r w:rsidRPr="00222881">
        <w:t>Other approaches considered</w:t>
      </w:r>
      <w:bookmarkEnd w:id="71"/>
      <w:bookmarkEnd w:id="72"/>
    </w:p>
    <w:p w14:paraId="456ECEE1" w14:textId="77777777" w:rsidR="00022915" w:rsidRPr="00222881" w:rsidRDefault="00022915" w:rsidP="00022915">
      <w:r w:rsidRPr="00222881">
        <w:t>Two alternatives that were previously considered: an industry proposal and a national packaging recovery scheme.  These alternatives are not viable options for the reasons detailed in this section.</w:t>
      </w:r>
    </w:p>
    <w:p w14:paraId="4703707E" w14:textId="77777777" w:rsidR="00022915" w:rsidRPr="00D67FDF" w:rsidRDefault="00022915" w:rsidP="00022915">
      <w:pPr>
        <w:pStyle w:val="Heading3"/>
      </w:pPr>
      <w:r w:rsidRPr="00222881">
        <w:t>An industry proposal: ‘Thirst for good’</w:t>
      </w:r>
      <w:r w:rsidRPr="00D67FDF">
        <w:t xml:space="preserve"> </w:t>
      </w:r>
    </w:p>
    <w:p w14:paraId="69FF7B0C" w14:textId="77777777" w:rsidR="00022915" w:rsidRDefault="00022915" w:rsidP="00022915">
      <w:r w:rsidRPr="003D79D5">
        <w:t xml:space="preserve">As part of consultation on the </w:t>
      </w:r>
      <w:r>
        <w:t xml:space="preserve">New South Wales </w:t>
      </w:r>
      <w:r w:rsidRPr="003D79D5">
        <w:t>CDS, the beverage industry proposed an alternative litter collecting approach</w:t>
      </w:r>
      <w:r>
        <w:t>, which was considered as an option instead of the final CDS.  Called ‘Thirst for good’ (AFGC 2016). T</w:t>
      </w:r>
      <w:r w:rsidRPr="003D79D5">
        <w:t xml:space="preserve">he approach </w:t>
      </w:r>
      <w:r>
        <w:t>was non-incentive based and stemmed from industry concerns about potential costs involved in implementing a refund-based CDS, which would predominantly fall on the consumer (New South Wales Government 2015).</w:t>
      </w:r>
    </w:p>
    <w:p w14:paraId="09205D12" w14:textId="77777777" w:rsidR="00022915" w:rsidRPr="003D79D5" w:rsidRDefault="00022915" w:rsidP="00022915">
      <w:r w:rsidRPr="00A13588">
        <w:t>The industry proposal</w:t>
      </w:r>
      <w:r>
        <w:t xml:space="preserve"> aimed to</w:t>
      </w:r>
      <w:r w:rsidRPr="00A13588">
        <w:t xml:space="preserve"> build on existing infrastructure and current levels of investment in litter management, rather than replacing it. </w:t>
      </w:r>
      <w:r>
        <w:t xml:space="preserve">It proposed </w:t>
      </w:r>
      <w:r w:rsidRPr="00CE7C92">
        <w:t>a $15 million</w:t>
      </w:r>
      <w:r>
        <w:t xml:space="preserve"> annual investment by the beverage industry</w:t>
      </w:r>
      <w:r w:rsidRPr="00A13588">
        <w:t xml:space="preserve"> </w:t>
      </w:r>
      <w:r>
        <w:t xml:space="preserve">to enact programs aimed at reducing litter.  </w:t>
      </w:r>
      <w:r w:rsidRPr="003D79D5">
        <w:t>The five elements in the proposal were:</w:t>
      </w:r>
    </w:p>
    <w:p w14:paraId="399F299F" w14:textId="77777777" w:rsidR="00022915" w:rsidRPr="003D79D5" w:rsidRDefault="00022915" w:rsidP="00022915">
      <w:pPr>
        <w:pStyle w:val="Bullets1stindent"/>
      </w:pPr>
      <w:r>
        <w:t>‘Cash for Communities’—</w:t>
      </w:r>
      <w:r w:rsidRPr="003D79D5">
        <w:t>one trailer for container collection per council (152 in total)</w:t>
      </w:r>
      <w:r>
        <w:t>;</w:t>
      </w:r>
    </w:p>
    <w:p w14:paraId="2A0C8770" w14:textId="77777777" w:rsidR="00022915" w:rsidRPr="003D79D5" w:rsidRDefault="00022915" w:rsidP="00022915">
      <w:pPr>
        <w:pStyle w:val="Bullets1stindent"/>
      </w:pPr>
      <w:r w:rsidRPr="003D79D5">
        <w:t>100 litter collectors</w:t>
      </w:r>
      <w:r>
        <w:t>;</w:t>
      </w:r>
    </w:p>
    <w:p w14:paraId="3DB4A2E3" w14:textId="77777777" w:rsidR="00022915" w:rsidRPr="003D79D5" w:rsidRDefault="00022915" w:rsidP="00022915">
      <w:pPr>
        <w:pStyle w:val="Bullets1stindent"/>
      </w:pPr>
      <w:r w:rsidRPr="003D79D5">
        <w:t>2</w:t>
      </w:r>
      <w:r>
        <w:t>,</w:t>
      </w:r>
      <w:r w:rsidRPr="003D79D5">
        <w:t>000 litter bins</w:t>
      </w:r>
      <w:r>
        <w:t xml:space="preserve"> for local governments to use in litter ‘hotspots’;</w:t>
      </w:r>
    </w:p>
    <w:p w14:paraId="55D9B814" w14:textId="77777777" w:rsidR="00022915" w:rsidRPr="003D79D5" w:rsidRDefault="00022915" w:rsidP="00022915">
      <w:pPr>
        <w:pStyle w:val="Bullets1stindent"/>
      </w:pPr>
      <w:r w:rsidRPr="003D79D5">
        <w:t xml:space="preserve">100 </w:t>
      </w:r>
      <w:r>
        <w:t>reverse vending machines in public areas where large numbers of drinks are consumed; and</w:t>
      </w:r>
    </w:p>
    <w:p w14:paraId="1C77BA66" w14:textId="77777777" w:rsidR="00022915" w:rsidRPr="003D79D5" w:rsidRDefault="00022915" w:rsidP="00022915">
      <w:pPr>
        <w:pStyle w:val="Bullets1stindent"/>
      </w:pPr>
      <w:r w:rsidRPr="003D79D5">
        <w:t>a community education program</w:t>
      </w:r>
      <w:r>
        <w:t xml:space="preserve"> to change behaviour and reduce littering over time.</w:t>
      </w:r>
    </w:p>
    <w:p w14:paraId="38369A72" w14:textId="77777777" w:rsidR="00022915" w:rsidRPr="005509A4" w:rsidRDefault="00022915" w:rsidP="00022915">
      <w:r w:rsidRPr="005509A4">
        <w:t xml:space="preserve">The litter collectors </w:t>
      </w:r>
      <w:r>
        <w:t>were</w:t>
      </w:r>
      <w:r w:rsidRPr="005509A4">
        <w:t xml:space="preserve"> the key litter reduction element of the proposal. The approach involved engaging around 100 litter collectors to complete the proposed task of cleaning 6</w:t>
      </w:r>
      <w:r>
        <w:t>,</w:t>
      </w:r>
      <w:r w:rsidRPr="005509A4">
        <w:t xml:space="preserve">406 kilometres of highways and industrial roads eight times </w:t>
      </w:r>
      <w:r>
        <w:t>a</w:t>
      </w:r>
      <w:r w:rsidRPr="005509A4">
        <w:t xml:space="preserve"> year.</w:t>
      </w:r>
      <w:r>
        <w:t xml:space="preserve">  It was proposed that the collectors could </w:t>
      </w:r>
      <w:r w:rsidRPr="00627C28">
        <w:t>target</w:t>
      </w:r>
      <w:r>
        <w:t xml:space="preserve"> litter ‘hotspots’ that were not currently serviced by waste collection.</w:t>
      </w:r>
    </w:p>
    <w:p w14:paraId="21CFD484" w14:textId="77777777" w:rsidR="00022915" w:rsidRDefault="00022915" w:rsidP="00022915">
      <w:r w:rsidRPr="003D79D5">
        <w:t xml:space="preserve">As part of a review of the proposal, road access and </w:t>
      </w:r>
      <w:r>
        <w:t xml:space="preserve">the </w:t>
      </w:r>
      <w:r w:rsidRPr="003D79D5">
        <w:t>suitability of locations for litter collection w</w:t>
      </w:r>
      <w:r>
        <w:t>ere</w:t>
      </w:r>
      <w:r w:rsidRPr="003D79D5">
        <w:t xml:space="preserve"> reviewed. </w:t>
      </w:r>
    </w:p>
    <w:p w14:paraId="3D18A245" w14:textId="77777777" w:rsidR="00022915" w:rsidRDefault="00022915" w:rsidP="00022915">
      <w:r w:rsidRPr="003D79D5">
        <w:t>The review found several issues:</w:t>
      </w:r>
    </w:p>
    <w:p w14:paraId="7516147E" w14:textId="77777777" w:rsidR="00022915" w:rsidRPr="00DA040A" w:rsidRDefault="00022915" w:rsidP="00022915">
      <w:pPr>
        <w:pStyle w:val="Bullets1stindent"/>
      </w:pPr>
      <w:r w:rsidRPr="003D79D5">
        <w:t xml:space="preserve">Discussions with </w:t>
      </w:r>
      <w:r>
        <w:t xml:space="preserve">the </w:t>
      </w:r>
      <w:r w:rsidRPr="003D79D5">
        <w:t xml:space="preserve">Roads and Maritime Services confirmed that litter collectors would not be granted access </w:t>
      </w:r>
      <w:r w:rsidRPr="00DA040A">
        <w:t xml:space="preserve">to </w:t>
      </w:r>
      <w:r w:rsidRPr="003D79D5">
        <w:t xml:space="preserve">urban motorways, urban freeways and rural freeways. </w:t>
      </w:r>
      <w:r w:rsidRPr="00DA040A">
        <w:t>Litter pickers w</w:t>
      </w:r>
      <w:r>
        <w:t>ould</w:t>
      </w:r>
      <w:r w:rsidRPr="00DA040A">
        <w:t xml:space="preserve"> be able to access other roads, but traffic control plans would </w:t>
      </w:r>
      <w:r>
        <w:t xml:space="preserve">first </w:t>
      </w:r>
      <w:r w:rsidRPr="00DA040A">
        <w:t>need to be developed and approved.</w:t>
      </w:r>
    </w:p>
    <w:p w14:paraId="6B1D2766" w14:textId="77777777" w:rsidR="00022915" w:rsidRPr="00DA040A" w:rsidRDefault="00022915" w:rsidP="00022915">
      <w:pPr>
        <w:pStyle w:val="Bullets1stindent"/>
      </w:pPr>
      <w:r w:rsidRPr="00DA040A">
        <w:t>Accessing other roads w</w:t>
      </w:r>
      <w:r>
        <w:t>ould</w:t>
      </w:r>
      <w:r w:rsidRPr="00DA040A">
        <w:t xml:space="preserve"> be conditional on traffic management requirements being met, including reducing the speed</w:t>
      </w:r>
      <w:r>
        <w:t xml:space="preserve"> limit</w:t>
      </w:r>
      <w:r w:rsidRPr="00DA040A">
        <w:t xml:space="preserve"> to 40 k</w:t>
      </w:r>
      <w:r>
        <w:t>ilometres per hour</w:t>
      </w:r>
      <w:r w:rsidRPr="00DA040A">
        <w:t xml:space="preserve"> (which w</w:t>
      </w:r>
      <w:r>
        <w:t>ould</w:t>
      </w:r>
      <w:r w:rsidRPr="00DA040A">
        <w:t xml:space="preserve"> result in travel time impacts)</w:t>
      </w:r>
      <w:r>
        <w:t>. A</w:t>
      </w:r>
      <w:r w:rsidRPr="00DA040A">
        <w:t xml:space="preserve"> second vehicle may </w:t>
      </w:r>
      <w:r>
        <w:t>have been</w:t>
      </w:r>
      <w:r w:rsidRPr="00DA040A">
        <w:t xml:space="preserve"> </w:t>
      </w:r>
      <w:r>
        <w:t>needed</w:t>
      </w:r>
      <w:r w:rsidRPr="00DA040A">
        <w:t xml:space="preserve"> to slow down or alert drivers to maintenance activity ahead</w:t>
      </w:r>
      <w:r>
        <w:t>,</w:t>
      </w:r>
      <w:r w:rsidRPr="00DA040A">
        <w:t xml:space="preserve"> and workers </w:t>
      </w:r>
      <w:r>
        <w:t xml:space="preserve">would have </w:t>
      </w:r>
      <w:r w:rsidRPr="00DA040A">
        <w:t>need</w:t>
      </w:r>
      <w:r>
        <w:t>ed</w:t>
      </w:r>
      <w:r w:rsidRPr="00DA040A">
        <w:t xml:space="preserve"> to be appropriately trained to mitigate occupational health and safety risks, such as vehicle</w:t>
      </w:r>
      <w:r>
        <w:noBreakHyphen/>
      </w:r>
      <w:r w:rsidRPr="00DA040A">
        <w:t>related, environmental, hazardous litter and other hazards. Th</w:t>
      </w:r>
      <w:r>
        <w:t>o</w:t>
      </w:r>
      <w:r w:rsidRPr="00DA040A">
        <w:t>se hazards include exposure to a harsh climate</w:t>
      </w:r>
      <w:r>
        <w:t>;</w:t>
      </w:r>
      <w:r w:rsidRPr="00DA040A">
        <w:t xml:space="preserve"> slips, trips and falls</w:t>
      </w:r>
      <w:r>
        <w:t>;</w:t>
      </w:r>
      <w:r w:rsidRPr="00DA040A">
        <w:t xml:space="preserve"> hazardous litter</w:t>
      </w:r>
      <w:r>
        <w:t>,</w:t>
      </w:r>
      <w:r w:rsidRPr="00DA040A">
        <w:t xml:space="preserve"> such as asbestos</w:t>
      </w:r>
      <w:r>
        <w:t>;</w:t>
      </w:r>
      <w:r w:rsidRPr="00DA040A">
        <w:t xml:space="preserve"> hazardous wildlife</w:t>
      </w:r>
      <w:r>
        <w:t>,</w:t>
      </w:r>
      <w:r w:rsidRPr="00DA040A">
        <w:t xml:space="preserve"> such as snakes and spiders</w:t>
      </w:r>
      <w:r>
        <w:t>;</w:t>
      </w:r>
      <w:r w:rsidRPr="00DA040A">
        <w:t xml:space="preserve"> and risk relating to passing vehicles.</w:t>
      </w:r>
    </w:p>
    <w:p w14:paraId="587D572F" w14:textId="77777777" w:rsidR="00022915" w:rsidRPr="003D79D5" w:rsidRDefault="00022915" w:rsidP="00022915">
      <w:pPr>
        <w:pStyle w:val="Bullets1stindent"/>
      </w:pPr>
      <w:r w:rsidRPr="00DA040A">
        <w:t>Depots w</w:t>
      </w:r>
      <w:r>
        <w:t>ould</w:t>
      </w:r>
      <w:r w:rsidRPr="00DA040A">
        <w:t xml:space="preserve"> </w:t>
      </w:r>
      <w:r>
        <w:t>have been</w:t>
      </w:r>
      <w:r w:rsidRPr="00DA040A">
        <w:t xml:space="preserve"> needed to store the vehicles and equipment, because the</w:t>
      </w:r>
      <w:r>
        <w:t> </w:t>
      </w:r>
      <w:r w:rsidRPr="00DA040A">
        <w:t xml:space="preserve">vehicles would </w:t>
      </w:r>
      <w:r>
        <w:t xml:space="preserve">have </w:t>
      </w:r>
      <w:r w:rsidRPr="00DA040A">
        <w:t>require</w:t>
      </w:r>
      <w:r>
        <w:t>d</w:t>
      </w:r>
      <w:r w:rsidRPr="00DA040A">
        <w:t xml:space="preserve"> specialised signage and lighting. </w:t>
      </w:r>
      <w:r>
        <w:t>Moreover</w:t>
      </w:r>
      <w:r w:rsidRPr="00DA040A">
        <w:t xml:space="preserve">, additional time and resources </w:t>
      </w:r>
      <w:r>
        <w:t xml:space="preserve">would </w:t>
      </w:r>
      <w:r w:rsidRPr="00DA040A">
        <w:t xml:space="preserve">need to </w:t>
      </w:r>
      <w:r>
        <w:t xml:space="preserve">have been </w:t>
      </w:r>
      <w:r w:rsidRPr="00DA040A">
        <w:t>allocated to the</w:t>
      </w:r>
      <w:r w:rsidRPr="003D79D5">
        <w:t xml:space="preserve"> litter disposal task.</w:t>
      </w:r>
    </w:p>
    <w:p w14:paraId="5B868BE7" w14:textId="77777777" w:rsidR="00022915" w:rsidRDefault="00022915" w:rsidP="00022915">
      <w:r w:rsidRPr="003D79D5">
        <w:t>As a result of th</w:t>
      </w:r>
      <w:r>
        <w:t>at</w:t>
      </w:r>
      <w:r w:rsidRPr="003D79D5">
        <w:t xml:space="preserve"> review, revised estimates indicated</w:t>
      </w:r>
      <w:r>
        <w:t xml:space="preserve"> that</w:t>
      </w:r>
      <w:r w:rsidRPr="003D79D5">
        <w:t xml:space="preserve"> a significantly larger workforce (</w:t>
      </w:r>
      <w:r>
        <w:t xml:space="preserve">approximately </w:t>
      </w:r>
      <w:r w:rsidRPr="003D79D5">
        <w:t xml:space="preserve">210 staff) would be </w:t>
      </w:r>
      <w:r>
        <w:t>needed</w:t>
      </w:r>
      <w:r w:rsidRPr="003D79D5">
        <w:t xml:space="preserve"> to complete the industry</w:t>
      </w:r>
      <w:r>
        <w:t>-</w:t>
      </w:r>
      <w:r w:rsidRPr="003D79D5">
        <w:t xml:space="preserve">nominated task of </w:t>
      </w:r>
      <w:r>
        <w:rPr>
          <w:i/>
        </w:rPr>
        <w:t>‘</w:t>
      </w:r>
      <w:r w:rsidRPr="00BD5687">
        <w:t xml:space="preserve">cleaning up each of these areas </w:t>
      </w:r>
      <w:r>
        <w:t xml:space="preserve">eight </w:t>
      </w:r>
      <w:r w:rsidRPr="00BD5687">
        <w:t>times per year’</w:t>
      </w:r>
      <w:r w:rsidRPr="00AE568F">
        <w:t>.</w:t>
      </w:r>
    </w:p>
    <w:p w14:paraId="53B1F0FD" w14:textId="77777777" w:rsidR="00022915" w:rsidRDefault="00022915" w:rsidP="00022915">
      <w:r>
        <w:t>As a part of the New South Wales process, i</w:t>
      </w:r>
      <w:r w:rsidRPr="003D79D5">
        <w:t xml:space="preserve">ndependent consultants considered the potential to </w:t>
      </w:r>
      <w:r>
        <w:t>increase the number of litter collectors</w:t>
      </w:r>
      <w:r w:rsidRPr="003D79D5">
        <w:t xml:space="preserve"> to provide state-wide litter reduction outcomes. </w:t>
      </w:r>
      <w:r>
        <w:t xml:space="preserve"> </w:t>
      </w:r>
      <w:r w:rsidRPr="003D79D5">
        <w:t>The consultants estimated that a collection team of approximately 1</w:t>
      </w:r>
      <w:r>
        <w:t>,</w:t>
      </w:r>
      <w:r w:rsidRPr="003D79D5">
        <w:t xml:space="preserve">500 litter collectors would be </w:t>
      </w:r>
      <w:r>
        <w:t>needed</w:t>
      </w:r>
      <w:r w:rsidRPr="003D79D5">
        <w:t xml:space="preserve"> to cover an additional 62,000</w:t>
      </w:r>
      <w:r>
        <w:t> </w:t>
      </w:r>
      <w:r w:rsidRPr="003D79D5">
        <w:t>kilometres of rural highway and secondary roads (</w:t>
      </w:r>
      <w:r>
        <w:t xml:space="preserve">the </w:t>
      </w:r>
      <w:r w:rsidRPr="003D79D5">
        <w:t>estimate</w:t>
      </w:r>
      <w:r>
        <w:t>d</w:t>
      </w:r>
      <w:r w:rsidRPr="003D79D5">
        <w:t xml:space="preserve"> relevant road length) six times a year. Additional vehicles and depots would also be </w:t>
      </w:r>
      <w:r>
        <w:t>needed</w:t>
      </w:r>
      <w:r w:rsidRPr="003D79D5">
        <w:t>.</w:t>
      </w:r>
    </w:p>
    <w:p w14:paraId="6C76EC1B" w14:textId="77777777" w:rsidR="00022915" w:rsidRPr="003D79D5" w:rsidRDefault="00022915" w:rsidP="00022915">
      <w:r w:rsidRPr="003D79D5">
        <w:t>This alternative was considered in detail in previous consultation documents and in a</w:t>
      </w:r>
      <w:r>
        <w:t> </w:t>
      </w:r>
      <w:r w:rsidRPr="003D79D5">
        <w:t>cost</w:t>
      </w:r>
      <w:r>
        <w:noBreakHyphen/>
      </w:r>
      <w:r w:rsidRPr="003D79D5">
        <w:t xml:space="preserve">benefit analysis. </w:t>
      </w:r>
      <w:r>
        <w:t xml:space="preserve"> </w:t>
      </w:r>
      <w:r w:rsidRPr="003D79D5">
        <w:t xml:space="preserve">However, the proposal </w:t>
      </w:r>
      <w:r>
        <w:t>would</w:t>
      </w:r>
      <w:r w:rsidRPr="003D79D5">
        <w:t xml:space="preserve"> not achieve the policy objective and was found to have substantial </w:t>
      </w:r>
      <w:r>
        <w:t xml:space="preserve">problems, </w:t>
      </w:r>
      <w:r w:rsidRPr="003D79D5">
        <w:t xml:space="preserve">such as posing significant health and safety </w:t>
      </w:r>
      <w:r>
        <w:t>risks</w:t>
      </w:r>
      <w:r w:rsidRPr="003D79D5">
        <w:t xml:space="preserve"> for litter pickers. </w:t>
      </w:r>
      <w:r>
        <w:t xml:space="preserve"> </w:t>
      </w:r>
      <w:r w:rsidRPr="003D79D5">
        <w:t xml:space="preserve">Finally, the proposal was found to have a </w:t>
      </w:r>
      <w:r w:rsidRPr="00DE3144">
        <w:t>benefit-cost ratio</w:t>
      </w:r>
      <w:r w:rsidRPr="003D79D5">
        <w:t xml:space="preserve"> around one</w:t>
      </w:r>
      <w:r>
        <w:t>-</w:t>
      </w:r>
      <w:r w:rsidRPr="003D79D5">
        <w:t>tenth of the proposed CDS.</w:t>
      </w:r>
    </w:p>
    <w:p w14:paraId="294CAB9D" w14:textId="77777777" w:rsidR="00022915" w:rsidRDefault="00022915" w:rsidP="00022915">
      <w:r>
        <w:t xml:space="preserve">The Western Australian Government </w:t>
      </w:r>
      <w:r w:rsidRPr="00D30991">
        <w:t>reviewed this alternative proposal and considered that concerns raised by the N</w:t>
      </w:r>
      <w:r>
        <w:t xml:space="preserve">ew </w:t>
      </w:r>
      <w:r w:rsidRPr="00D30991">
        <w:t>S</w:t>
      </w:r>
      <w:r>
        <w:t xml:space="preserve">outh </w:t>
      </w:r>
      <w:r w:rsidRPr="00D30991">
        <w:t>W</w:t>
      </w:r>
      <w:r>
        <w:t>ales</w:t>
      </w:r>
      <w:r w:rsidRPr="00D30991">
        <w:t xml:space="preserve"> Government would be exacerbated in </w:t>
      </w:r>
      <w:r>
        <w:t xml:space="preserve">the Western Australian </w:t>
      </w:r>
      <w:r w:rsidRPr="00D30991">
        <w:t xml:space="preserve">context, because of the geographic scale and distributed population of </w:t>
      </w:r>
      <w:r>
        <w:t>the State</w:t>
      </w:r>
      <w:r w:rsidRPr="00D30991">
        <w:t>.</w:t>
      </w:r>
      <w:r>
        <w:rPr>
          <w:rStyle w:val="FootnoteReference"/>
        </w:rPr>
        <w:footnoteReference w:id="31"/>
      </w:r>
    </w:p>
    <w:p w14:paraId="7D607DC6" w14:textId="77777777" w:rsidR="00022915" w:rsidRPr="00A33798" w:rsidRDefault="00022915" w:rsidP="00022915">
      <w:r w:rsidRPr="00D30991">
        <w:t>As a</w:t>
      </w:r>
      <w:r>
        <w:t> </w:t>
      </w:r>
      <w:r w:rsidRPr="00D30991">
        <w:t xml:space="preserve">result, the proposal was considered </w:t>
      </w:r>
      <w:r>
        <w:t xml:space="preserve">to not be </w:t>
      </w:r>
      <w:r w:rsidRPr="00D30991">
        <w:t xml:space="preserve">viable </w:t>
      </w:r>
      <w:r>
        <w:t xml:space="preserve">and is not considered likely to meet the intended objectives of the proposed scheme (see section </w:t>
      </w:r>
      <w:r>
        <w:fldChar w:fldCharType="begin"/>
      </w:r>
      <w:r>
        <w:instrText xml:space="preserve"> REF _Ref536613632 \r \h </w:instrText>
      </w:r>
      <w:r>
        <w:fldChar w:fldCharType="separate"/>
      </w:r>
      <w:r>
        <w:t>2</w:t>
      </w:r>
      <w:r>
        <w:fldChar w:fldCharType="end"/>
      </w:r>
      <w:r>
        <w:t xml:space="preserve">). It is therefore </w:t>
      </w:r>
      <w:r w:rsidRPr="00D30991">
        <w:t>not considered quantitatively in this RIS.</w:t>
      </w:r>
    </w:p>
    <w:p w14:paraId="79C609AA" w14:textId="77777777" w:rsidR="00022915" w:rsidRPr="00D67FDF" w:rsidRDefault="00022915" w:rsidP="00022915">
      <w:pPr>
        <w:pStyle w:val="Heading3"/>
      </w:pPr>
      <w:r w:rsidRPr="00D67FDF">
        <w:t>National packaging recovery scheme</w:t>
      </w:r>
    </w:p>
    <w:p w14:paraId="3D6DBEF6" w14:textId="77777777" w:rsidR="00022915" w:rsidRDefault="00022915" w:rsidP="00022915">
      <w:r w:rsidRPr="003D79D5">
        <w:t xml:space="preserve">A nationally harmonised approach to packaging (whether a </w:t>
      </w:r>
      <w:r>
        <w:t>CDS</w:t>
      </w:r>
      <w:r w:rsidRPr="003D79D5">
        <w:t xml:space="preserve"> or </w:t>
      </w:r>
      <w:r>
        <w:t>another</w:t>
      </w:r>
      <w:r w:rsidRPr="003D79D5">
        <w:t xml:space="preserve"> strategy) would be an alternative to the proposed state</w:t>
      </w:r>
      <w:r>
        <w:t>-</w:t>
      </w:r>
      <w:r w:rsidRPr="003D79D5">
        <w:t>operated CDS.</w:t>
      </w:r>
    </w:p>
    <w:p w14:paraId="3643B51D" w14:textId="77777777" w:rsidR="00022915" w:rsidRDefault="00022915" w:rsidP="00022915">
      <w:r w:rsidRPr="003D79D5">
        <w:t xml:space="preserve">A national packaging strategy was previously considered by COAG and was the subject of a </w:t>
      </w:r>
      <w:r>
        <w:t>C</w:t>
      </w:r>
      <w:r w:rsidRPr="003D79D5">
        <w:t xml:space="preserve">onsultation RIS and a </w:t>
      </w:r>
      <w:r>
        <w:t>D</w:t>
      </w:r>
      <w:r w:rsidRPr="003D79D5">
        <w:t>ecision RIS</w:t>
      </w:r>
      <w:r>
        <w:t xml:space="preserve"> (NEPC 2014)</w:t>
      </w:r>
      <w:r w:rsidRPr="003D79D5">
        <w:t xml:space="preserve">. </w:t>
      </w:r>
      <w:r>
        <w:t xml:space="preserve"> </w:t>
      </w:r>
      <w:r w:rsidRPr="003D79D5">
        <w:t>The RIS was considered by environment ministers in April and December 2014</w:t>
      </w:r>
      <w:r>
        <w:t>,</w:t>
      </w:r>
      <w:r w:rsidRPr="003D79D5">
        <w:t xml:space="preserve"> but no consensus was reached on suitable reforms</w:t>
      </w:r>
      <w:r>
        <w:t xml:space="preserve"> (NEPC undated).</w:t>
      </w:r>
    </w:p>
    <w:p w14:paraId="5E87F9E4" w14:textId="77777777" w:rsidR="00022915" w:rsidRPr="003D79D5" w:rsidRDefault="00022915" w:rsidP="00022915">
      <w:r>
        <w:t>As a result</w:t>
      </w:r>
      <w:r w:rsidRPr="003D79D5">
        <w:t xml:space="preserve">, a national scheme will not be introduced in the foreseeable future. </w:t>
      </w:r>
      <w:r>
        <w:t xml:space="preserve"> </w:t>
      </w:r>
      <w:r w:rsidRPr="003D79D5">
        <w:t xml:space="preserve">For this reason, this alternative is considered </w:t>
      </w:r>
      <w:r>
        <w:t xml:space="preserve">to not be </w:t>
      </w:r>
      <w:r w:rsidRPr="003D79D5">
        <w:t xml:space="preserve">viable, </w:t>
      </w:r>
      <w:r>
        <w:t xml:space="preserve">will not meet the intended of the objectives of the proposed scheme (see section </w:t>
      </w:r>
      <w:r>
        <w:fldChar w:fldCharType="begin"/>
      </w:r>
      <w:r>
        <w:instrText xml:space="preserve"> REF _Ref536613632 \r \h </w:instrText>
      </w:r>
      <w:r>
        <w:fldChar w:fldCharType="separate"/>
      </w:r>
      <w:r>
        <w:t>2</w:t>
      </w:r>
      <w:r>
        <w:fldChar w:fldCharType="end"/>
      </w:r>
      <w:r>
        <w:t xml:space="preserve">). It is therefore </w:t>
      </w:r>
      <w:r w:rsidRPr="003D79D5">
        <w:t>not considered quantitatively</w:t>
      </w:r>
      <w:r>
        <w:t xml:space="preserve"> in this RIS</w:t>
      </w:r>
      <w:r w:rsidRPr="003D79D5">
        <w:t>.</w:t>
      </w:r>
    </w:p>
    <w:p w14:paraId="218A904C" w14:textId="77777777" w:rsidR="00022915" w:rsidRDefault="00022915" w:rsidP="00022915">
      <w:r w:rsidRPr="003D79D5">
        <w:t>In principle, the</w:t>
      </w:r>
      <w:r>
        <w:t xml:space="preserve"> Western Australian </w:t>
      </w:r>
      <w:r w:rsidRPr="003D79D5">
        <w:t>Government supports a national CDS</w:t>
      </w:r>
      <w:r>
        <w:t xml:space="preserve"> and has sought to align the design of the proposed scheme with existing Australian schemes, including in relation to refund marks and amounts.</w:t>
      </w:r>
    </w:p>
    <w:p w14:paraId="5BCE7FBC" w14:textId="77777777" w:rsidR="00022915" w:rsidRPr="0026185F" w:rsidRDefault="00022915" w:rsidP="00022915">
      <w:pPr>
        <w:pStyle w:val="Heading1"/>
      </w:pPr>
      <w:bookmarkStart w:id="73" w:name="_Toc509917101"/>
      <w:bookmarkStart w:id="74" w:name="_Ref536612563"/>
      <w:bookmarkStart w:id="75" w:name="_Toc9375371"/>
      <w:bookmarkEnd w:id="73"/>
      <w:r w:rsidRPr="0026185F">
        <w:t>Impact analysis</w:t>
      </w:r>
      <w:bookmarkEnd w:id="74"/>
      <w:bookmarkEnd w:id="75"/>
    </w:p>
    <w:p w14:paraId="1C073E1E" w14:textId="77777777" w:rsidR="00022915" w:rsidRDefault="00022915" w:rsidP="00022915">
      <w:pPr>
        <w:pStyle w:val="Heading2"/>
      </w:pPr>
      <w:bookmarkStart w:id="76" w:name="_Toc506552643"/>
      <w:bookmarkStart w:id="77" w:name="_Toc9375372"/>
      <w:r>
        <w:t>Cost-benefit analysis</w:t>
      </w:r>
      <w:bookmarkEnd w:id="76"/>
      <w:bookmarkEnd w:id="77"/>
    </w:p>
    <w:p w14:paraId="5CE6D12D" w14:textId="77777777" w:rsidR="00022915" w:rsidRPr="00601938" w:rsidRDefault="00022915" w:rsidP="00022915">
      <w:r w:rsidRPr="00601938">
        <w:t xml:space="preserve">A </w:t>
      </w:r>
      <w:r>
        <w:t xml:space="preserve">cost-benefit </w:t>
      </w:r>
      <w:r w:rsidRPr="0083027F">
        <w:t>analysis was undertaken to assess the net economic impacts of the</w:t>
      </w:r>
      <w:r>
        <w:t xml:space="preserve"> Western Australian </w:t>
      </w:r>
      <w:r w:rsidRPr="0083027F">
        <w:t xml:space="preserve">CDS. The </w:t>
      </w:r>
      <w:r>
        <w:t>analysis</w:t>
      </w:r>
      <w:r w:rsidRPr="0083027F">
        <w:t xml:space="preserve"> compared the</w:t>
      </w:r>
      <w:r w:rsidRPr="00601938">
        <w:t xml:space="preserve"> base case (no reform) </w:t>
      </w:r>
      <w:r>
        <w:t>option</w:t>
      </w:r>
      <w:r w:rsidRPr="00601938">
        <w:t xml:space="preserve"> against the</w:t>
      </w:r>
      <w:r>
        <w:t> </w:t>
      </w:r>
      <w:r w:rsidRPr="00601938">
        <w:t>introduction of the CDS.</w:t>
      </w:r>
    </w:p>
    <w:p w14:paraId="1DF381BE" w14:textId="77777777" w:rsidR="00022915" w:rsidRPr="00D67FDF" w:rsidRDefault="00022915" w:rsidP="00022915">
      <w:pPr>
        <w:pStyle w:val="Heading3"/>
      </w:pPr>
      <w:r w:rsidRPr="00D67FDF">
        <w:t>Assumptions and scope</w:t>
      </w:r>
    </w:p>
    <w:p w14:paraId="21C51A0F" w14:textId="77777777" w:rsidR="00022915" w:rsidRPr="00D23491" w:rsidRDefault="00022915" w:rsidP="00022915">
      <w:r w:rsidRPr="00D23491">
        <w:t>General assumptions underlining the analysis were as follows:</w:t>
      </w:r>
    </w:p>
    <w:p w14:paraId="21858898" w14:textId="77777777" w:rsidR="00022915" w:rsidRPr="00C46685" w:rsidRDefault="00022915" w:rsidP="00022915">
      <w:pPr>
        <w:pStyle w:val="Bullets1stindent"/>
        <w:spacing w:line="240" w:lineRule="auto"/>
      </w:pPr>
      <w:r w:rsidRPr="00D23491">
        <w:t xml:space="preserve">The base year of the appraisal </w:t>
      </w:r>
      <w:r w:rsidRPr="00C46685">
        <w:t xml:space="preserve">is </w:t>
      </w:r>
      <w:r>
        <w:t xml:space="preserve">the </w:t>
      </w:r>
      <w:r w:rsidRPr="00CE34EA">
        <w:t>2018</w:t>
      </w:r>
      <w:r w:rsidRPr="00E407A5">
        <w:t xml:space="preserve"> </w:t>
      </w:r>
      <w:r>
        <w:t xml:space="preserve">financial year </w:t>
      </w:r>
      <w:r w:rsidRPr="00E407A5">
        <w:t>and the assessment is conducted over a 20</w:t>
      </w:r>
      <w:r>
        <w:t> </w:t>
      </w:r>
      <w:r w:rsidRPr="00E407A5">
        <w:t>year period.</w:t>
      </w:r>
    </w:p>
    <w:p w14:paraId="1AD5EC37" w14:textId="77777777" w:rsidR="00022915" w:rsidRPr="00601938" w:rsidRDefault="00022915" w:rsidP="00022915">
      <w:pPr>
        <w:pStyle w:val="Bullets1stindent"/>
        <w:spacing w:line="240" w:lineRule="auto"/>
      </w:pPr>
      <w:r w:rsidRPr="00601938">
        <w:t xml:space="preserve">Prices and results are in 2017 </w:t>
      </w:r>
      <w:r>
        <w:t xml:space="preserve">dollars </w:t>
      </w:r>
      <w:r w:rsidRPr="00601938">
        <w:t>unless otherwise indicated.</w:t>
      </w:r>
    </w:p>
    <w:p w14:paraId="1BD3A7EA" w14:textId="77777777" w:rsidR="00022915" w:rsidRPr="00D23491" w:rsidRDefault="00022915" w:rsidP="00022915">
      <w:pPr>
        <w:pStyle w:val="Bullets1stindent"/>
        <w:spacing w:line="240" w:lineRule="auto"/>
      </w:pPr>
      <w:r w:rsidRPr="00D23491">
        <w:t>The evaluation period is 20 y</w:t>
      </w:r>
      <w:r>
        <w:t xml:space="preserve">ears from the </w:t>
      </w:r>
      <w:r w:rsidRPr="00CE34EA">
        <w:t>2018 to 2037</w:t>
      </w:r>
      <w:r w:rsidRPr="00AB6E79">
        <w:t xml:space="preserve"> </w:t>
      </w:r>
      <w:r>
        <w:t>financial years</w:t>
      </w:r>
      <w:r w:rsidRPr="00D23491">
        <w:t>.</w:t>
      </w:r>
    </w:p>
    <w:p w14:paraId="21DD7CBF" w14:textId="77777777" w:rsidR="00022915" w:rsidRPr="00D23491" w:rsidRDefault="00022915" w:rsidP="00022915">
      <w:pPr>
        <w:pStyle w:val="Bullets1stindent"/>
        <w:spacing w:line="240" w:lineRule="auto"/>
      </w:pPr>
      <w:r w:rsidRPr="00D23491">
        <w:t xml:space="preserve">The discount rate applied is </w:t>
      </w:r>
      <w:r>
        <w:t xml:space="preserve">seven per cent </w:t>
      </w:r>
      <w:r w:rsidRPr="00D23491">
        <w:t>(real)</w:t>
      </w:r>
      <w:r>
        <w:t xml:space="preserve"> and</w:t>
      </w:r>
      <w:r w:rsidRPr="00D23491">
        <w:t xml:space="preserve"> sensitivity testing </w:t>
      </w:r>
      <w:r>
        <w:t xml:space="preserve">is </w:t>
      </w:r>
      <w:r w:rsidRPr="00D23491">
        <w:t xml:space="preserve">applied at </w:t>
      </w:r>
      <w:r>
        <w:t xml:space="preserve">three and </w:t>
      </w:r>
      <w:r w:rsidRPr="00D23491">
        <w:t>10</w:t>
      </w:r>
      <w:r>
        <w:t xml:space="preserve"> per cent</w:t>
      </w:r>
      <w:r w:rsidRPr="00D23491">
        <w:t>.</w:t>
      </w:r>
    </w:p>
    <w:p w14:paraId="490782D4" w14:textId="77777777" w:rsidR="00022915" w:rsidRPr="0034593F" w:rsidRDefault="00022915" w:rsidP="00022915">
      <w:pPr>
        <w:pStyle w:val="Bullets1stindent"/>
        <w:spacing w:line="240" w:lineRule="auto"/>
      </w:pPr>
      <w:r w:rsidRPr="0034593F">
        <w:t>The development period for the scheme is during 2018</w:t>
      </w:r>
      <w:r>
        <w:t>-19</w:t>
      </w:r>
      <w:r w:rsidRPr="0034593F">
        <w:t xml:space="preserve">, and the scheme commences </w:t>
      </w:r>
      <w:r>
        <w:t>in mid-</w:t>
      </w:r>
      <w:r w:rsidRPr="0034593F">
        <w:t>2019.</w:t>
      </w:r>
    </w:p>
    <w:p w14:paraId="4032D7E2" w14:textId="77777777" w:rsidR="00022915" w:rsidRDefault="00022915" w:rsidP="00022915">
      <w:r w:rsidRPr="00A019DC">
        <w:t xml:space="preserve">After the cost-benefit analysis was completed the commencement date for the CDS was revised to early 2020.  This is 6-9 months after the dates assumed in the cost-benefit analysis.  As this change in implementation timing would </w:t>
      </w:r>
      <w:r>
        <w:t>delay both the impost of costs and the accrual of benefits, the net impact of this delay on the cost-benefit analysis would be minimal.  An illustration the small impact changes in timing have is included in the sensitivity analysis. One of the sensitivity tests undertaken was an altered assessment period (10 or 20 years) and found only a small change in results.</w:t>
      </w:r>
    </w:p>
    <w:p w14:paraId="7990BCE9" w14:textId="77777777" w:rsidR="00022915" w:rsidRPr="00D23491" w:rsidRDefault="00022915" w:rsidP="00022915">
      <w:r w:rsidRPr="00E407A5">
        <w:t xml:space="preserve">The </w:t>
      </w:r>
      <w:r>
        <w:t>cost-benefit analysis</w:t>
      </w:r>
      <w:r w:rsidRPr="00E407A5">
        <w:t xml:space="preserve"> was undertaken using a geographic</w:t>
      </w:r>
      <w:r>
        <w:t>al</w:t>
      </w:r>
      <w:r w:rsidRPr="00E407A5">
        <w:t xml:space="preserve"> scope of </w:t>
      </w:r>
      <w:r>
        <w:t>Western Australia.  S</w:t>
      </w:r>
      <w:r w:rsidRPr="00E407A5">
        <w:t xml:space="preserve">ome broader </w:t>
      </w:r>
      <w:r>
        <w:t>impacts</w:t>
      </w:r>
      <w:r w:rsidRPr="00E407A5">
        <w:t xml:space="preserve"> identified in the distribution analysis (Section</w:t>
      </w:r>
      <w:r>
        <w:t> </w:t>
      </w:r>
      <w:r w:rsidRPr="00E407A5">
        <w:fldChar w:fldCharType="begin"/>
      </w:r>
      <w:r w:rsidRPr="00E407A5">
        <w:instrText xml:space="preserve"> REF _Ref498440023 \r \h </w:instrText>
      </w:r>
      <w:r>
        <w:instrText xml:space="preserve"> \* MERGEFORMAT </w:instrText>
      </w:r>
      <w:r w:rsidRPr="00E407A5">
        <w:fldChar w:fldCharType="separate"/>
      </w:r>
      <w:r>
        <w:t>4.5</w:t>
      </w:r>
      <w:r w:rsidRPr="00E407A5">
        <w:fldChar w:fldCharType="end"/>
      </w:r>
      <w:r w:rsidRPr="00E407A5">
        <w:t>) and the qualitative consideration of effects outside</w:t>
      </w:r>
      <w:r>
        <w:t xml:space="preserve"> Western Australia </w:t>
      </w:r>
      <w:r w:rsidRPr="00E407A5">
        <w:t>(Section</w:t>
      </w:r>
      <w:r>
        <w:t> </w:t>
      </w:r>
      <w:r w:rsidRPr="00E407A5">
        <w:fldChar w:fldCharType="begin"/>
      </w:r>
      <w:r w:rsidRPr="00E407A5">
        <w:instrText xml:space="preserve"> REF _Ref499810571 \r \h </w:instrText>
      </w:r>
      <w:r>
        <w:instrText xml:space="preserve"> \* MERGEFORMAT </w:instrText>
      </w:r>
      <w:r w:rsidRPr="00E407A5">
        <w:fldChar w:fldCharType="separate"/>
      </w:r>
      <w:r>
        <w:t>4.6</w:t>
      </w:r>
      <w:r w:rsidRPr="00E407A5">
        <w:fldChar w:fldCharType="end"/>
      </w:r>
      <w:r w:rsidRPr="00E407A5">
        <w:t>) were considered.</w:t>
      </w:r>
    </w:p>
    <w:p w14:paraId="40AC1F3F" w14:textId="77777777" w:rsidR="00022915" w:rsidRPr="00D23491" w:rsidRDefault="00022915" w:rsidP="00022915">
      <w:r w:rsidRPr="00D23491">
        <w:t xml:space="preserve">The results of the </w:t>
      </w:r>
      <w:r>
        <w:t>cost-benefit analysis</w:t>
      </w:r>
      <w:r w:rsidRPr="00E407A5">
        <w:t xml:space="preserve"> </w:t>
      </w:r>
      <w:r w:rsidRPr="00D23491">
        <w:t>are presented using two key metrics:</w:t>
      </w:r>
    </w:p>
    <w:p w14:paraId="26377D3E" w14:textId="77777777" w:rsidR="00022915" w:rsidRPr="0083027F" w:rsidRDefault="00022915" w:rsidP="00022915">
      <w:pPr>
        <w:pStyle w:val="Bullets1stindent"/>
        <w:spacing w:line="240" w:lineRule="auto"/>
      </w:pPr>
      <w:r w:rsidRPr="00D23491">
        <w:t xml:space="preserve">the net present </w:t>
      </w:r>
      <w:r w:rsidRPr="0083027F">
        <w:t>value</w:t>
      </w:r>
      <w:r>
        <w:t xml:space="preserve">, </w:t>
      </w:r>
      <w:r w:rsidRPr="0083027F">
        <w:t xml:space="preserve">which is the present </w:t>
      </w:r>
      <w:r>
        <w:t xml:space="preserve">value </w:t>
      </w:r>
      <w:r w:rsidRPr="0083027F">
        <w:t xml:space="preserve">of economic benefits delivered by the CDS less the </w:t>
      </w:r>
      <w:r>
        <w:t>present value</w:t>
      </w:r>
      <w:r w:rsidRPr="0083027F">
        <w:t xml:space="preserve"> of the economic costs incurred; and</w:t>
      </w:r>
    </w:p>
    <w:p w14:paraId="39CC86B2" w14:textId="77777777" w:rsidR="00022915" w:rsidRPr="00D23491" w:rsidRDefault="00022915" w:rsidP="00022915">
      <w:pPr>
        <w:pStyle w:val="Bullets1stindent"/>
        <w:spacing w:line="240" w:lineRule="auto"/>
      </w:pPr>
      <w:r w:rsidRPr="0083027F">
        <w:t xml:space="preserve">the </w:t>
      </w:r>
      <w:r w:rsidRPr="00DE3144">
        <w:t>benefit-cost ratio</w:t>
      </w:r>
      <w:r w:rsidRPr="0083027F">
        <w:t>, which</w:t>
      </w:r>
      <w:r w:rsidRPr="00D23491">
        <w:t xml:space="preserve"> is the ratio of the </w:t>
      </w:r>
      <w:r>
        <w:t>present value</w:t>
      </w:r>
      <w:r w:rsidRPr="00D23491">
        <w:t xml:space="preserve"> of economic benefit</w:t>
      </w:r>
      <w:r>
        <w:t>s</w:t>
      </w:r>
      <w:r w:rsidRPr="00D23491">
        <w:t xml:space="preserve"> to the </w:t>
      </w:r>
      <w:r>
        <w:t>present value</w:t>
      </w:r>
      <w:r w:rsidRPr="00D23491">
        <w:t xml:space="preserve"> of economic costs.</w:t>
      </w:r>
    </w:p>
    <w:p w14:paraId="765825F7" w14:textId="77777777" w:rsidR="00022915" w:rsidRPr="00D23491" w:rsidRDefault="00022915" w:rsidP="00022915">
      <w:r w:rsidRPr="00D23491">
        <w:t>The</w:t>
      </w:r>
      <w:r>
        <w:t xml:space="preserve"> net present value </w:t>
      </w:r>
      <w:r w:rsidRPr="00D23491">
        <w:t>measures the expected benefit (or cost) to society of implementing the policy and is expressed in monetary terms, whereas the</w:t>
      </w:r>
      <w:r>
        <w:t xml:space="preserve"> benefit-cost ratio</w:t>
      </w:r>
      <w:r w:rsidRPr="00D23491">
        <w:t xml:space="preserve"> identifies the option that provides the highest benefit per unit of cost.</w:t>
      </w:r>
    </w:p>
    <w:p w14:paraId="2EB563A0" w14:textId="77777777" w:rsidR="00022915" w:rsidRPr="008B211C" w:rsidRDefault="00022915" w:rsidP="00022915">
      <w:r w:rsidRPr="0034593F">
        <w:t xml:space="preserve">The </w:t>
      </w:r>
      <w:r>
        <w:t>cost-benefit analysis</w:t>
      </w:r>
      <w:r w:rsidRPr="00E407A5">
        <w:t xml:space="preserve"> </w:t>
      </w:r>
      <w:r w:rsidRPr="00CE7C92">
        <w:t>results indicate that the Western Australian CDS will deliver net present value benefits of $1</w:t>
      </w:r>
      <w:r>
        <w:t>28</w:t>
      </w:r>
      <w:r w:rsidRPr="00CE7C92">
        <w:t> million to the economy. The benefit-cost ratio result is 1.</w:t>
      </w:r>
      <w:r>
        <w:t>29</w:t>
      </w:r>
      <w:r w:rsidRPr="00CE7C92">
        <w:t>, indicating that for every $1 of cost, $1.</w:t>
      </w:r>
      <w:r>
        <w:t>29</w:t>
      </w:r>
      <w:r w:rsidRPr="00CE7C92">
        <w:t xml:space="preserve"> of benefits</w:t>
      </w:r>
      <w:r w:rsidRPr="0034593F">
        <w:t xml:space="preserve"> w</w:t>
      </w:r>
      <w:r>
        <w:t>ould</w:t>
      </w:r>
      <w:r w:rsidRPr="0034593F">
        <w:t xml:space="preserve"> result (</w:t>
      </w:r>
      <w:r w:rsidRPr="0034593F">
        <w:fldChar w:fldCharType="begin"/>
      </w:r>
      <w:r w:rsidRPr="0034593F">
        <w:instrText xml:space="preserve"> REF _Ref499734813 \h  \* MERGEFORMAT </w:instrText>
      </w:r>
      <w:r w:rsidRPr="0034593F">
        <w:fldChar w:fldCharType="separate"/>
      </w:r>
      <w:r w:rsidRPr="00222881">
        <w:t xml:space="preserve">Table </w:t>
      </w:r>
      <w:r>
        <w:rPr>
          <w:noProof/>
        </w:rPr>
        <w:t>3</w:t>
      </w:r>
      <w:r w:rsidRPr="0034593F">
        <w:fldChar w:fldCharType="end"/>
      </w:r>
      <w:r w:rsidRPr="0034593F">
        <w:t>).</w:t>
      </w:r>
    </w:p>
    <w:p w14:paraId="7FBBC45E" w14:textId="77777777" w:rsidR="00022915" w:rsidRPr="00222881" w:rsidRDefault="00022915" w:rsidP="00022915">
      <w:pPr>
        <w:pStyle w:val="Caption"/>
        <w:spacing w:before="240"/>
      </w:pPr>
      <w:bookmarkStart w:id="78" w:name="_Ref499734813"/>
      <w:bookmarkStart w:id="79" w:name="_Toc500154275"/>
      <w:bookmarkStart w:id="80" w:name="_Toc506552684"/>
      <w:bookmarkStart w:id="81" w:name="_Toc10031212"/>
      <w:r w:rsidRPr="00222881">
        <w:t xml:space="preserve">Table </w:t>
      </w:r>
      <w:r w:rsidR="00CF34D3">
        <w:rPr>
          <w:noProof/>
        </w:rPr>
        <w:fldChar w:fldCharType="begin"/>
      </w:r>
      <w:r w:rsidR="00CF34D3">
        <w:rPr>
          <w:noProof/>
        </w:rPr>
        <w:instrText xml:space="preserve"> SEQ Table \* ARABIC </w:instrText>
      </w:r>
      <w:r w:rsidR="00CF34D3">
        <w:rPr>
          <w:noProof/>
        </w:rPr>
        <w:fldChar w:fldCharType="separate"/>
      </w:r>
      <w:r>
        <w:rPr>
          <w:noProof/>
        </w:rPr>
        <w:t>3</w:t>
      </w:r>
      <w:r w:rsidR="00CF34D3">
        <w:rPr>
          <w:noProof/>
        </w:rPr>
        <w:fldChar w:fldCharType="end"/>
      </w:r>
      <w:bookmarkEnd w:id="78"/>
      <w:r w:rsidRPr="00222881">
        <w:t>: Cost–benefit analysis results</w:t>
      </w:r>
      <w:bookmarkEnd w:id="79"/>
      <w:bookmarkEnd w:id="80"/>
      <w:bookmarkEnd w:id="8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st benefit analysis results"/>
        <w:tblDescription w:val="Table summarising the cost benefit analysis results"/>
      </w:tblPr>
      <w:tblGrid>
        <w:gridCol w:w="5019"/>
        <w:gridCol w:w="4053"/>
      </w:tblGrid>
      <w:tr w:rsidR="00022915" w:rsidRPr="00222881" w14:paraId="46C85852" w14:textId="77777777" w:rsidTr="00C53AB1">
        <w:trPr>
          <w:tblHeader/>
        </w:trPr>
        <w:tc>
          <w:tcPr>
            <w:tcW w:w="3685" w:type="dxa"/>
            <w:shd w:val="clear" w:color="auto" w:fill="D9D9D9" w:themeFill="background1" w:themeFillShade="D9"/>
            <w:vAlign w:val="center"/>
          </w:tcPr>
          <w:p w14:paraId="616942C8" w14:textId="77777777" w:rsidR="00022915" w:rsidRPr="00222881" w:rsidRDefault="00022915" w:rsidP="00C53AB1">
            <w:pPr>
              <w:pStyle w:val="Tableheading0"/>
              <w:rPr>
                <w:lang w:eastAsia="en-AU"/>
              </w:rPr>
            </w:pPr>
            <w:r w:rsidRPr="00222881">
              <w:rPr>
                <w:lang w:eastAsia="en-AU"/>
              </w:rPr>
              <w:t>Variable</w:t>
            </w:r>
          </w:p>
        </w:tc>
        <w:tc>
          <w:tcPr>
            <w:tcW w:w="2976" w:type="dxa"/>
            <w:shd w:val="clear" w:color="auto" w:fill="D9D9D9" w:themeFill="background1" w:themeFillShade="D9"/>
            <w:vAlign w:val="center"/>
          </w:tcPr>
          <w:p w14:paraId="1E33DD95" w14:textId="77777777" w:rsidR="00022915" w:rsidRPr="00222881" w:rsidRDefault="00022915" w:rsidP="00C53AB1">
            <w:pPr>
              <w:pStyle w:val="TableHeadingCenter"/>
              <w:spacing w:before="40"/>
              <w:rPr>
                <w:rFonts w:cs="Arial"/>
                <w:szCs w:val="20"/>
                <w:lang w:eastAsia="en-AU"/>
              </w:rPr>
            </w:pPr>
            <w:r w:rsidRPr="00222881">
              <w:rPr>
                <w:rFonts w:cs="Arial"/>
                <w:szCs w:val="20"/>
              </w:rPr>
              <w:t>Present value results</w:t>
            </w:r>
          </w:p>
        </w:tc>
      </w:tr>
      <w:tr w:rsidR="00022915" w:rsidRPr="00222881" w14:paraId="3E852B83" w14:textId="77777777" w:rsidTr="00C53AB1">
        <w:tc>
          <w:tcPr>
            <w:tcW w:w="3685" w:type="dxa"/>
            <w:shd w:val="clear" w:color="auto" w:fill="auto"/>
            <w:vAlign w:val="center"/>
          </w:tcPr>
          <w:p w14:paraId="0EF12EAA" w14:textId="77777777" w:rsidR="00022915" w:rsidRPr="00222881" w:rsidRDefault="00022915" w:rsidP="00C53AB1">
            <w:pPr>
              <w:pStyle w:val="Tabletext0"/>
              <w:keepNext/>
              <w:keepLines/>
              <w:widowControl w:val="0"/>
              <w:spacing w:before="40" w:after="40"/>
              <w:rPr>
                <w:rFonts w:eastAsia="PMingLiU" w:cs="Arial"/>
                <w:szCs w:val="20"/>
              </w:rPr>
            </w:pPr>
            <w:r w:rsidRPr="00222881">
              <w:rPr>
                <w:rFonts w:cs="Arial"/>
                <w:szCs w:val="20"/>
              </w:rPr>
              <w:t>Incremental cost (present value)</w:t>
            </w:r>
          </w:p>
        </w:tc>
        <w:tc>
          <w:tcPr>
            <w:tcW w:w="2976" w:type="dxa"/>
            <w:shd w:val="clear" w:color="auto" w:fill="auto"/>
            <w:vAlign w:val="center"/>
          </w:tcPr>
          <w:p w14:paraId="5597E04F" w14:textId="77777777" w:rsidR="00022915" w:rsidRPr="00222881" w:rsidRDefault="00022915" w:rsidP="00C53AB1">
            <w:pPr>
              <w:pStyle w:val="Tabletext0"/>
              <w:keepNext/>
              <w:keepLines/>
              <w:widowControl w:val="0"/>
              <w:tabs>
                <w:tab w:val="decimal" w:pos="1027"/>
              </w:tabs>
              <w:spacing w:before="40" w:after="40"/>
              <w:jc w:val="center"/>
              <w:rPr>
                <w:rFonts w:eastAsia="PMingLiU" w:cs="Arial"/>
                <w:szCs w:val="20"/>
              </w:rPr>
            </w:pPr>
            <w:r w:rsidRPr="00222881">
              <w:rPr>
                <w:rFonts w:cs="Arial"/>
                <w:szCs w:val="20"/>
              </w:rPr>
              <w:t>$437 million</w:t>
            </w:r>
          </w:p>
        </w:tc>
      </w:tr>
      <w:tr w:rsidR="00022915" w:rsidRPr="00222881" w14:paraId="40C1274B" w14:textId="77777777" w:rsidTr="00C53AB1">
        <w:tc>
          <w:tcPr>
            <w:tcW w:w="3685" w:type="dxa"/>
            <w:shd w:val="clear" w:color="auto" w:fill="auto"/>
            <w:vAlign w:val="center"/>
          </w:tcPr>
          <w:p w14:paraId="15E32140" w14:textId="77777777" w:rsidR="00022915" w:rsidRPr="00222881" w:rsidRDefault="00022915" w:rsidP="00C53AB1">
            <w:pPr>
              <w:pStyle w:val="Tabletext0"/>
              <w:keepNext/>
              <w:keepLines/>
              <w:widowControl w:val="0"/>
              <w:spacing w:before="40" w:after="40"/>
              <w:rPr>
                <w:rFonts w:cs="Arial"/>
                <w:szCs w:val="20"/>
              </w:rPr>
            </w:pPr>
            <w:r w:rsidRPr="00222881">
              <w:rPr>
                <w:rFonts w:cs="Arial"/>
                <w:szCs w:val="20"/>
              </w:rPr>
              <w:t>Incremental benefit / avoided cost (present value)</w:t>
            </w:r>
          </w:p>
        </w:tc>
        <w:tc>
          <w:tcPr>
            <w:tcW w:w="2976" w:type="dxa"/>
            <w:shd w:val="clear" w:color="auto" w:fill="auto"/>
            <w:vAlign w:val="center"/>
          </w:tcPr>
          <w:p w14:paraId="457F53DD" w14:textId="77777777" w:rsidR="00022915" w:rsidRPr="00222881" w:rsidRDefault="00022915" w:rsidP="00C53AB1">
            <w:pPr>
              <w:pStyle w:val="Tabletext0"/>
              <w:keepNext/>
              <w:keepLines/>
              <w:widowControl w:val="0"/>
              <w:tabs>
                <w:tab w:val="decimal" w:pos="1027"/>
              </w:tabs>
              <w:spacing w:before="40" w:after="40"/>
              <w:jc w:val="center"/>
              <w:rPr>
                <w:rFonts w:cs="Arial"/>
                <w:szCs w:val="20"/>
              </w:rPr>
            </w:pPr>
            <w:r w:rsidRPr="00222881">
              <w:rPr>
                <w:rFonts w:cs="Arial"/>
                <w:szCs w:val="20"/>
              </w:rPr>
              <w:t>$565 million</w:t>
            </w:r>
          </w:p>
        </w:tc>
      </w:tr>
      <w:tr w:rsidR="00022915" w:rsidRPr="00222881" w14:paraId="0921FD55" w14:textId="77777777" w:rsidTr="00C53AB1">
        <w:tc>
          <w:tcPr>
            <w:tcW w:w="3685" w:type="dxa"/>
            <w:shd w:val="clear" w:color="auto" w:fill="auto"/>
            <w:vAlign w:val="center"/>
          </w:tcPr>
          <w:p w14:paraId="4D0D3233" w14:textId="77777777" w:rsidR="00022915" w:rsidRPr="00222881" w:rsidRDefault="00022915" w:rsidP="00C53AB1">
            <w:pPr>
              <w:pStyle w:val="Tabletext0"/>
              <w:keepNext/>
              <w:keepLines/>
              <w:widowControl w:val="0"/>
              <w:spacing w:before="40" w:after="40"/>
              <w:rPr>
                <w:rFonts w:cs="Arial"/>
                <w:b/>
                <w:szCs w:val="20"/>
              </w:rPr>
            </w:pPr>
            <w:r w:rsidRPr="00222881">
              <w:rPr>
                <w:rFonts w:cs="Arial"/>
                <w:b/>
                <w:szCs w:val="20"/>
              </w:rPr>
              <w:t>Net present value</w:t>
            </w:r>
          </w:p>
        </w:tc>
        <w:tc>
          <w:tcPr>
            <w:tcW w:w="2976" w:type="dxa"/>
            <w:shd w:val="clear" w:color="auto" w:fill="auto"/>
            <w:vAlign w:val="center"/>
          </w:tcPr>
          <w:p w14:paraId="0E4BB316" w14:textId="77777777" w:rsidR="00022915" w:rsidRPr="00222881" w:rsidRDefault="00022915" w:rsidP="00C53AB1">
            <w:pPr>
              <w:pStyle w:val="Tabletext0"/>
              <w:keepNext/>
              <w:keepLines/>
              <w:widowControl w:val="0"/>
              <w:tabs>
                <w:tab w:val="decimal" w:pos="1027"/>
              </w:tabs>
              <w:spacing w:before="40" w:after="40"/>
              <w:jc w:val="center"/>
              <w:rPr>
                <w:rFonts w:cs="Arial"/>
                <w:b/>
                <w:szCs w:val="20"/>
              </w:rPr>
            </w:pPr>
            <w:r w:rsidRPr="00222881">
              <w:rPr>
                <w:rFonts w:cs="Arial"/>
                <w:b/>
                <w:szCs w:val="20"/>
              </w:rPr>
              <w:t>$128 million</w:t>
            </w:r>
          </w:p>
        </w:tc>
      </w:tr>
      <w:tr w:rsidR="00022915" w:rsidRPr="00222881" w14:paraId="7B6EE347" w14:textId="77777777" w:rsidTr="00C53AB1">
        <w:tc>
          <w:tcPr>
            <w:tcW w:w="3685" w:type="dxa"/>
            <w:shd w:val="clear" w:color="auto" w:fill="auto"/>
            <w:vAlign w:val="center"/>
          </w:tcPr>
          <w:p w14:paraId="78004B0A" w14:textId="77777777" w:rsidR="00022915" w:rsidRPr="00222881" w:rsidRDefault="00022915" w:rsidP="00C53AB1">
            <w:pPr>
              <w:pStyle w:val="Tabletext0"/>
              <w:widowControl w:val="0"/>
              <w:spacing w:before="40" w:after="40"/>
              <w:rPr>
                <w:rFonts w:cs="Arial"/>
                <w:b/>
                <w:szCs w:val="20"/>
              </w:rPr>
            </w:pPr>
            <w:r w:rsidRPr="00222881">
              <w:rPr>
                <w:rFonts w:cs="Arial"/>
                <w:b/>
                <w:szCs w:val="20"/>
              </w:rPr>
              <w:t>Benefit-cost ratio</w:t>
            </w:r>
          </w:p>
        </w:tc>
        <w:tc>
          <w:tcPr>
            <w:tcW w:w="2976" w:type="dxa"/>
            <w:shd w:val="clear" w:color="auto" w:fill="auto"/>
            <w:vAlign w:val="center"/>
          </w:tcPr>
          <w:p w14:paraId="3E4BC26F" w14:textId="77777777" w:rsidR="00022915" w:rsidRPr="00222881" w:rsidRDefault="00022915" w:rsidP="00C53AB1">
            <w:pPr>
              <w:pStyle w:val="Tabletext0"/>
              <w:widowControl w:val="0"/>
              <w:tabs>
                <w:tab w:val="decimal" w:pos="1027"/>
              </w:tabs>
              <w:spacing w:before="40" w:after="40"/>
              <w:jc w:val="center"/>
              <w:rPr>
                <w:rFonts w:cs="Arial"/>
                <w:b/>
                <w:szCs w:val="20"/>
              </w:rPr>
            </w:pPr>
            <w:r w:rsidRPr="00222881">
              <w:rPr>
                <w:rFonts w:cs="Arial"/>
                <w:b/>
                <w:szCs w:val="20"/>
              </w:rPr>
              <w:t>1.29</w:t>
            </w:r>
          </w:p>
        </w:tc>
      </w:tr>
    </w:tbl>
    <w:p w14:paraId="68121B85" w14:textId="77777777" w:rsidR="00022915" w:rsidRPr="00222881" w:rsidRDefault="00022915" w:rsidP="00022915">
      <w:pPr>
        <w:pStyle w:val="DWERSource"/>
        <w:rPr>
          <w:lang w:eastAsia="en-AU"/>
        </w:rPr>
      </w:pPr>
      <w:r w:rsidRPr="00222881">
        <w:rPr>
          <w:lang w:eastAsia="en-AU"/>
        </w:rPr>
        <w:t>Source: Marsden Jacob Associates, 2018.</w:t>
      </w:r>
    </w:p>
    <w:p w14:paraId="19B6998E" w14:textId="77777777" w:rsidR="00022915" w:rsidRPr="00222881" w:rsidRDefault="00022915" w:rsidP="00022915">
      <w:pPr>
        <w:pStyle w:val="Heading3"/>
      </w:pPr>
      <w:bookmarkStart w:id="82" w:name="_Toc506552645"/>
      <w:r w:rsidRPr="00222881">
        <w:t>Costs</w:t>
      </w:r>
      <w:bookmarkEnd w:id="82"/>
    </w:p>
    <w:p w14:paraId="0D2DA711" w14:textId="77777777" w:rsidR="00022915" w:rsidRPr="00222881" w:rsidRDefault="00022915" w:rsidP="00022915">
      <w:r w:rsidRPr="00222881">
        <w:t>Cost outcomes from the cost-benefit analysis are divided into several broad categories:</w:t>
      </w:r>
    </w:p>
    <w:p w14:paraId="2B6EFFC8" w14:textId="77777777" w:rsidR="00022915" w:rsidRPr="00222881" w:rsidRDefault="00022915" w:rsidP="00022915">
      <w:pPr>
        <w:pStyle w:val="Bullets1stindent"/>
        <w:spacing w:before="60" w:line="240" w:lineRule="auto"/>
      </w:pPr>
      <w:r w:rsidRPr="00222881">
        <w:t>scheme design and administration costs, including avoided costs (incurred by government);</w:t>
      </w:r>
    </w:p>
    <w:p w14:paraId="5C5775DE" w14:textId="77777777" w:rsidR="00022915" w:rsidRPr="00222881" w:rsidRDefault="00022915" w:rsidP="00022915">
      <w:pPr>
        <w:pStyle w:val="Bullets1stindent"/>
        <w:spacing w:before="60" w:line="240" w:lineRule="auto"/>
      </w:pPr>
      <w:r w:rsidRPr="00222881">
        <w:t>scheme administration and coordination (incurred by scheme coordinator and network operator);</w:t>
      </w:r>
    </w:p>
    <w:p w14:paraId="2251BA2A" w14:textId="77777777" w:rsidR="00022915" w:rsidRPr="00222881" w:rsidRDefault="00022915" w:rsidP="00022915">
      <w:pPr>
        <w:pStyle w:val="Bullets1stindent"/>
        <w:spacing w:before="60" w:line="240" w:lineRule="auto"/>
      </w:pPr>
      <w:r w:rsidRPr="00222881">
        <w:t>business compliance costs (incurred by the beverage industry);</w:t>
      </w:r>
    </w:p>
    <w:p w14:paraId="345FA20B" w14:textId="77777777" w:rsidR="00022915" w:rsidRPr="00222881" w:rsidRDefault="00022915" w:rsidP="00022915">
      <w:pPr>
        <w:pStyle w:val="Bullets1stindent"/>
        <w:spacing w:before="60" w:line="240" w:lineRule="auto"/>
      </w:pPr>
      <w:r w:rsidRPr="00222881">
        <w:t>household participation costs;</w:t>
      </w:r>
    </w:p>
    <w:p w14:paraId="53D85018" w14:textId="77777777" w:rsidR="00022915" w:rsidRPr="00222881" w:rsidRDefault="00022915" w:rsidP="00022915">
      <w:pPr>
        <w:pStyle w:val="Bullets1stindent"/>
        <w:spacing w:before="60" w:line="240" w:lineRule="auto"/>
      </w:pPr>
      <w:r w:rsidRPr="00222881">
        <w:t xml:space="preserve">business participation costs; </w:t>
      </w:r>
    </w:p>
    <w:p w14:paraId="2C85893A" w14:textId="77777777" w:rsidR="00022915" w:rsidRPr="00222881" w:rsidRDefault="00022915" w:rsidP="00022915">
      <w:pPr>
        <w:pStyle w:val="Bullets1stindent"/>
        <w:spacing w:before="60" w:line="240" w:lineRule="auto"/>
      </w:pPr>
      <w:r w:rsidRPr="00222881">
        <w:t>container redemption infrastructure costs (refund points and reverse vending machines); and</w:t>
      </w:r>
    </w:p>
    <w:p w14:paraId="19EE4E1D" w14:textId="77777777" w:rsidR="00022915" w:rsidRPr="00222881" w:rsidRDefault="00022915" w:rsidP="00022915">
      <w:pPr>
        <w:pStyle w:val="Bullets1stindent"/>
        <w:spacing w:before="60" w:line="240" w:lineRule="auto"/>
      </w:pPr>
      <w:r w:rsidRPr="00222881">
        <w:t>processing and transport costs for containers redeemed through the CDS.</w:t>
      </w:r>
    </w:p>
    <w:p w14:paraId="6637726B" w14:textId="77777777" w:rsidR="00022915" w:rsidRPr="00222881" w:rsidRDefault="00022915" w:rsidP="00022915">
      <w:r w:rsidRPr="00222881">
        <w:fldChar w:fldCharType="begin"/>
      </w:r>
      <w:r w:rsidRPr="00222881">
        <w:instrText xml:space="preserve"> REF _Ref499720340 \h  \* MERGEFORMAT </w:instrText>
      </w:r>
      <w:r w:rsidRPr="00222881">
        <w:fldChar w:fldCharType="separate"/>
      </w:r>
      <w:r w:rsidRPr="00222881">
        <w:t xml:space="preserve">Figure </w:t>
      </w:r>
      <w:r>
        <w:rPr>
          <w:noProof/>
        </w:rPr>
        <w:t>3</w:t>
      </w:r>
      <w:r w:rsidRPr="00222881">
        <w:fldChar w:fldCharType="end"/>
      </w:r>
      <w:r w:rsidRPr="00222881">
        <w:t xml:space="preserve"> shows the magnitude of the each of the cost outcomes.</w:t>
      </w:r>
      <w:r w:rsidRPr="00222881">
        <w:rPr>
          <w:rStyle w:val="FootnoteReference"/>
        </w:rPr>
        <w:footnoteReference w:id="32"/>
      </w:r>
      <w:r w:rsidRPr="00222881">
        <w:t xml:space="preserve"> Further detail on each of the cost items and their underlying assumptions is provided in the Appendix. </w:t>
      </w:r>
    </w:p>
    <w:p w14:paraId="782D6270" w14:textId="77777777" w:rsidR="00022915" w:rsidRPr="00222881" w:rsidRDefault="00022915" w:rsidP="00022915">
      <w:pPr>
        <w:pStyle w:val="Caption"/>
      </w:pPr>
      <w:bookmarkStart w:id="83" w:name="_Ref499720340"/>
      <w:bookmarkStart w:id="84" w:name="_Toc500154295"/>
      <w:bookmarkStart w:id="85" w:name="_Toc506554047"/>
      <w:bookmarkStart w:id="86" w:name="_Toc10031204"/>
      <w:r w:rsidRPr="00222881">
        <w:t xml:space="preserve">Figure </w:t>
      </w:r>
      <w:r w:rsidR="00CF34D3">
        <w:rPr>
          <w:noProof/>
        </w:rPr>
        <w:fldChar w:fldCharType="begin"/>
      </w:r>
      <w:r w:rsidR="00CF34D3">
        <w:rPr>
          <w:noProof/>
        </w:rPr>
        <w:instrText xml:space="preserve"> SEQ Figure \* ARABIC </w:instrText>
      </w:r>
      <w:r w:rsidR="00CF34D3">
        <w:rPr>
          <w:noProof/>
        </w:rPr>
        <w:fldChar w:fldCharType="separate"/>
      </w:r>
      <w:r>
        <w:rPr>
          <w:noProof/>
        </w:rPr>
        <w:t>3</w:t>
      </w:r>
      <w:r w:rsidR="00CF34D3">
        <w:rPr>
          <w:noProof/>
        </w:rPr>
        <w:fldChar w:fldCharType="end"/>
      </w:r>
      <w:bookmarkEnd w:id="83"/>
      <w:r w:rsidRPr="00222881">
        <w:t>: Summary of cost outcomes ($ million, present value)</w:t>
      </w:r>
      <w:bookmarkEnd w:id="84"/>
      <w:bookmarkEnd w:id="85"/>
      <w:bookmarkEnd w:id="86"/>
    </w:p>
    <w:p w14:paraId="00264E4A" w14:textId="77777777" w:rsidR="00022915" w:rsidRPr="00222881" w:rsidRDefault="00022915" w:rsidP="00022915">
      <w:r w:rsidRPr="00222881">
        <w:rPr>
          <w:noProof/>
          <w:lang w:eastAsia="en-AU"/>
        </w:rPr>
        <w:drawing>
          <wp:inline distT="0" distB="0" distL="0" distR="0" wp14:anchorId="149DA15A" wp14:editId="7E43BF26">
            <wp:extent cx="5583676" cy="2977961"/>
            <wp:effectExtent l="0" t="0" r="0" b="0"/>
            <wp:docPr id="5" name="Picture 5" descr="Summary of costs by different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6807" cy="2984964"/>
                    </a:xfrm>
                    <a:prstGeom prst="rect">
                      <a:avLst/>
                    </a:prstGeom>
                    <a:noFill/>
                  </pic:spPr>
                </pic:pic>
              </a:graphicData>
            </a:graphic>
          </wp:inline>
        </w:drawing>
      </w:r>
    </w:p>
    <w:p w14:paraId="58961A10" w14:textId="77777777" w:rsidR="00022915" w:rsidRPr="00222881" w:rsidRDefault="00022915" w:rsidP="00022915">
      <w:pPr>
        <w:pStyle w:val="FootnoteText"/>
        <w:rPr>
          <w:lang w:eastAsia="en-AU"/>
        </w:rPr>
      </w:pPr>
      <w:r w:rsidRPr="00222881">
        <w:rPr>
          <w:lang w:eastAsia="en-AU"/>
        </w:rPr>
        <w:t>Source: Marsden Jacob Associates, 2019.</w:t>
      </w:r>
    </w:p>
    <w:p w14:paraId="1172C5F6" w14:textId="77777777" w:rsidR="00022915" w:rsidRPr="00222881" w:rsidRDefault="00022915" w:rsidP="00022915">
      <w:pPr>
        <w:pStyle w:val="Heading3"/>
      </w:pPr>
      <w:bookmarkStart w:id="87" w:name="_Toc506552646"/>
      <w:r w:rsidRPr="00222881">
        <w:t>Benefits (avoided costs)</w:t>
      </w:r>
      <w:bookmarkEnd w:id="87"/>
    </w:p>
    <w:p w14:paraId="7B2130AD" w14:textId="77777777" w:rsidR="00022915" w:rsidRPr="00222881" w:rsidRDefault="00022915" w:rsidP="00022915">
      <w:pPr>
        <w:keepNext/>
      </w:pPr>
      <w:r w:rsidRPr="00222881">
        <w:t>Benefit outcomes from the cost-benefit analysis include:</w:t>
      </w:r>
    </w:p>
    <w:p w14:paraId="43555389" w14:textId="77777777" w:rsidR="00022915" w:rsidRPr="00222881" w:rsidRDefault="00022915" w:rsidP="00022915">
      <w:pPr>
        <w:pStyle w:val="Bullets1stindent"/>
        <w:keepNext/>
        <w:spacing w:line="240" w:lineRule="auto"/>
      </w:pPr>
      <w:r w:rsidRPr="00222881">
        <w:t>avoided waste collection, transport, processing (at material recovery facilities for recyclables) and/or disposal to landfill costs (incurred by local governments and passed through to ratepayers);</w:t>
      </w:r>
      <w:r w:rsidRPr="00222881">
        <w:rPr>
          <w:rStyle w:val="FootnoteReference"/>
        </w:rPr>
        <w:footnoteReference w:id="33"/>
      </w:r>
    </w:p>
    <w:p w14:paraId="3B727DD2" w14:textId="77777777" w:rsidR="00022915" w:rsidRPr="00222881" w:rsidRDefault="00022915" w:rsidP="00022915">
      <w:pPr>
        <w:pStyle w:val="Bullets1stindent"/>
        <w:keepNext/>
        <w:spacing w:line="240" w:lineRule="auto"/>
      </w:pPr>
      <w:r w:rsidRPr="00222881">
        <w:t>avoided landfill externalities;</w:t>
      </w:r>
    </w:p>
    <w:p w14:paraId="3251ACF8" w14:textId="77777777" w:rsidR="00022915" w:rsidRPr="00222881" w:rsidRDefault="00022915" w:rsidP="00022915">
      <w:pPr>
        <w:pStyle w:val="Bullets1stindent"/>
        <w:keepNext/>
        <w:spacing w:line="240" w:lineRule="auto"/>
      </w:pPr>
      <w:r w:rsidRPr="00222881">
        <w:t>avoided litter costs; and</w:t>
      </w:r>
    </w:p>
    <w:p w14:paraId="02656B1B" w14:textId="77777777" w:rsidR="00022915" w:rsidRPr="00222881" w:rsidRDefault="00022915" w:rsidP="00022915">
      <w:pPr>
        <w:pStyle w:val="Bullets1stindent"/>
        <w:spacing w:after="240" w:line="240" w:lineRule="auto"/>
      </w:pPr>
      <w:r w:rsidRPr="00222881">
        <w:t>the value of resources recovered through recycling.</w:t>
      </w:r>
    </w:p>
    <w:p w14:paraId="07CAA974" w14:textId="77777777" w:rsidR="00022915" w:rsidRPr="00222881" w:rsidRDefault="00022915" w:rsidP="00022915">
      <w:r w:rsidRPr="00222881">
        <w:fldChar w:fldCharType="begin"/>
      </w:r>
      <w:r w:rsidRPr="00222881">
        <w:instrText xml:space="preserve"> REF _Ref499720588 \h  \* MERGEFORMAT </w:instrText>
      </w:r>
      <w:r w:rsidRPr="00222881">
        <w:fldChar w:fldCharType="separate"/>
      </w:r>
      <w:r w:rsidRPr="00222881">
        <w:t xml:space="preserve">Figure </w:t>
      </w:r>
      <w:r>
        <w:rPr>
          <w:noProof/>
        </w:rPr>
        <w:t>4</w:t>
      </w:r>
      <w:r w:rsidRPr="00222881">
        <w:fldChar w:fldCharType="end"/>
      </w:r>
      <w:r w:rsidRPr="00222881">
        <w:t xml:space="preserve"> shows the magnitude of each of the benefit outcomes.</w:t>
      </w:r>
      <w:r w:rsidRPr="00222881">
        <w:rPr>
          <w:rStyle w:val="FootnoteReference"/>
        </w:rPr>
        <w:footnoteReference w:id="34"/>
      </w:r>
      <w:r w:rsidRPr="00222881">
        <w:t xml:space="preserve">  Further detail on each of the benefit items and their underlying assumptions is provided in the Appendix.</w:t>
      </w:r>
    </w:p>
    <w:p w14:paraId="04D374EE" w14:textId="77777777" w:rsidR="00022915" w:rsidRPr="00222881" w:rsidRDefault="00022915" w:rsidP="00022915">
      <w:pPr>
        <w:pStyle w:val="Caption"/>
        <w:spacing w:before="360"/>
      </w:pPr>
      <w:bookmarkStart w:id="88" w:name="_Ref499720588"/>
      <w:bookmarkStart w:id="89" w:name="_Toc500154296"/>
      <w:bookmarkStart w:id="90" w:name="_Toc506554048"/>
      <w:bookmarkStart w:id="91" w:name="_Toc10031205"/>
      <w:r w:rsidRPr="00222881">
        <w:t xml:space="preserve">Figure </w:t>
      </w:r>
      <w:r w:rsidR="00CF34D3">
        <w:rPr>
          <w:noProof/>
        </w:rPr>
        <w:fldChar w:fldCharType="begin"/>
      </w:r>
      <w:r w:rsidR="00CF34D3">
        <w:rPr>
          <w:noProof/>
        </w:rPr>
        <w:instrText xml:space="preserve"> SEQ Figure \* ARABIC </w:instrText>
      </w:r>
      <w:r w:rsidR="00CF34D3">
        <w:rPr>
          <w:noProof/>
        </w:rPr>
        <w:fldChar w:fldCharType="separate"/>
      </w:r>
      <w:r>
        <w:rPr>
          <w:noProof/>
        </w:rPr>
        <w:t>4</w:t>
      </w:r>
      <w:r w:rsidR="00CF34D3">
        <w:rPr>
          <w:noProof/>
        </w:rPr>
        <w:fldChar w:fldCharType="end"/>
      </w:r>
      <w:bookmarkEnd w:id="88"/>
      <w:r w:rsidRPr="00222881">
        <w:t>: Summary of benefit outcomes ($ million, present value)</w:t>
      </w:r>
      <w:bookmarkEnd w:id="89"/>
      <w:bookmarkEnd w:id="90"/>
      <w:bookmarkEnd w:id="91"/>
    </w:p>
    <w:p w14:paraId="3F3971E5" w14:textId="77777777" w:rsidR="00022915" w:rsidRPr="000930C1" w:rsidRDefault="00022915" w:rsidP="00022915">
      <w:r w:rsidRPr="00222881">
        <w:rPr>
          <w:noProof/>
          <w:lang w:eastAsia="en-AU"/>
        </w:rPr>
        <w:drawing>
          <wp:inline distT="0" distB="0" distL="0" distR="0" wp14:anchorId="0809239F" wp14:editId="61A84654">
            <wp:extent cx="5640140" cy="2911813"/>
            <wp:effectExtent l="0" t="0" r="0" b="3175"/>
            <wp:docPr id="7" name="Picture 7" descr="Summary of benefits by different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908" cy="2920986"/>
                    </a:xfrm>
                    <a:prstGeom prst="rect">
                      <a:avLst/>
                    </a:prstGeom>
                    <a:noFill/>
                  </pic:spPr>
                </pic:pic>
              </a:graphicData>
            </a:graphic>
          </wp:inline>
        </w:drawing>
      </w:r>
    </w:p>
    <w:p w14:paraId="19D3258E" w14:textId="77777777" w:rsidR="00022915" w:rsidRPr="00433616" w:rsidRDefault="00022915" w:rsidP="00022915">
      <w:pPr>
        <w:pStyle w:val="DWERSource"/>
        <w:rPr>
          <w:lang w:eastAsia="en-AU"/>
        </w:rPr>
      </w:pPr>
      <w:r w:rsidRPr="00433616">
        <w:rPr>
          <w:lang w:eastAsia="en-AU"/>
        </w:rPr>
        <w:t>Source: Marsden Jacob Associates, 2018.</w:t>
      </w:r>
    </w:p>
    <w:p w14:paraId="5454707B" w14:textId="77777777" w:rsidR="00022915" w:rsidRPr="00D67FDF" w:rsidRDefault="00022915" w:rsidP="00022915">
      <w:pPr>
        <w:pStyle w:val="Heading3"/>
      </w:pPr>
      <w:r>
        <w:t>Risks</w:t>
      </w:r>
    </w:p>
    <w:p w14:paraId="466C0BDB" w14:textId="77777777" w:rsidR="00022915" w:rsidRDefault="00022915" w:rsidP="00022915">
      <w:pPr>
        <w:rPr>
          <w:rFonts w:cs="Arial"/>
          <w:b/>
          <w:i/>
          <w:sz w:val="20"/>
          <w:szCs w:val="16"/>
          <w:lang w:eastAsia="en-AU"/>
        </w:rPr>
      </w:pPr>
      <w:r>
        <w:t>A RIS is required to identify potential risks of the reform.  As the CDS is based on existing programs that are used in other States and Territories in Australia, it is considered to be low risk.  It is also noted that the recent consultations on CDSs in New South Wales, Queensland and the Australian Capital Territory did not identify significant risks for any stakeholder groups.</w:t>
      </w:r>
    </w:p>
    <w:p w14:paraId="3A0F9CFC" w14:textId="77777777" w:rsidR="00022915" w:rsidRDefault="00022915" w:rsidP="00022915">
      <w:pPr>
        <w:pStyle w:val="Heading2"/>
      </w:pPr>
      <w:bookmarkStart w:id="92" w:name="_Toc506552647"/>
      <w:bookmarkStart w:id="93" w:name="_Ref517356503"/>
      <w:bookmarkStart w:id="94" w:name="_Toc9375373"/>
      <w:r>
        <w:t>Limitations</w:t>
      </w:r>
      <w:bookmarkEnd w:id="92"/>
      <w:bookmarkEnd w:id="93"/>
      <w:bookmarkEnd w:id="94"/>
    </w:p>
    <w:p w14:paraId="040653E1" w14:textId="77777777" w:rsidR="00022915" w:rsidRDefault="00022915" w:rsidP="00022915">
      <w:pPr>
        <w:keepNext/>
      </w:pPr>
      <w:r>
        <w:t>In this analysis, it has not been possible to quantify all the benefits and costs. Also, as in all projection-based analyses, there are uncertainties in the data and projections.</w:t>
      </w:r>
    </w:p>
    <w:p w14:paraId="01CC9A89" w14:textId="77777777" w:rsidR="00022915" w:rsidRPr="00D67FDF" w:rsidRDefault="00022915" w:rsidP="00022915">
      <w:pPr>
        <w:pStyle w:val="Heading3"/>
      </w:pPr>
      <w:bookmarkStart w:id="95" w:name="_Toc506552648"/>
      <w:r w:rsidRPr="002B56E6">
        <w:t>Unquantified benefits</w:t>
      </w:r>
      <w:bookmarkEnd w:id="95"/>
    </w:p>
    <w:p w14:paraId="21512B4D" w14:textId="77777777" w:rsidR="00022915" w:rsidRDefault="00022915" w:rsidP="00022915">
      <w:r w:rsidRPr="00312531">
        <w:t>Several potential economic benefits of implementing options are not directly valued in markets. Because of this, it can be difficult to ascribe dollar values</w:t>
      </w:r>
      <w:r>
        <w:t>,</w:t>
      </w:r>
      <w:r w:rsidRPr="00312531">
        <w:t xml:space="preserve"> or at least values that provide a true reflection of their economic value</w:t>
      </w:r>
      <w:r>
        <w:t>,</w:t>
      </w:r>
      <w:r w:rsidRPr="00B12978">
        <w:t xml:space="preserve"> </w:t>
      </w:r>
      <w:r w:rsidRPr="00312531">
        <w:t xml:space="preserve">to those benefits. </w:t>
      </w:r>
      <w:r>
        <w:t xml:space="preserve"> </w:t>
      </w:r>
    </w:p>
    <w:p w14:paraId="41F6DEEC" w14:textId="77777777" w:rsidR="00022915" w:rsidRPr="00312531" w:rsidRDefault="00022915" w:rsidP="00022915">
      <w:r w:rsidRPr="00312531">
        <w:t xml:space="preserve">In the </w:t>
      </w:r>
      <w:r>
        <w:t>cost-benefit analysis</w:t>
      </w:r>
      <w:r w:rsidRPr="00312531">
        <w:t>, it has not been possible to assign values to:</w:t>
      </w:r>
    </w:p>
    <w:p w14:paraId="36D2EC2F" w14:textId="77777777" w:rsidR="00022915" w:rsidRPr="00312531" w:rsidRDefault="00022915" w:rsidP="00022915">
      <w:pPr>
        <w:pStyle w:val="Bullets1stindent"/>
        <w:spacing w:before="60" w:line="240" w:lineRule="auto"/>
      </w:pPr>
      <w:r w:rsidRPr="00312531">
        <w:t>avoided environmental externalities due to reduced resource depletion</w:t>
      </w:r>
      <w:r>
        <w:t xml:space="preserve"> (although some costs are captured in the value of recyclates);</w:t>
      </w:r>
    </w:p>
    <w:p w14:paraId="54BBA8DB" w14:textId="77777777" w:rsidR="00022915" w:rsidRPr="00312531" w:rsidRDefault="00022915" w:rsidP="00022915">
      <w:pPr>
        <w:pStyle w:val="Bullets1stindent"/>
        <w:spacing w:before="60" w:line="240" w:lineRule="auto"/>
      </w:pPr>
      <w:r w:rsidRPr="00312531">
        <w:t xml:space="preserve">specific reductions in </w:t>
      </w:r>
      <w:r>
        <w:t>riverine and marine</w:t>
      </w:r>
      <w:r w:rsidRPr="00312531">
        <w:t xml:space="preserve"> litter, because there is a lack </w:t>
      </w:r>
      <w:r>
        <w:t xml:space="preserve">of </w:t>
      </w:r>
      <w:r w:rsidRPr="00312531">
        <w:t>data on this issue</w:t>
      </w:r>
      <w:r>
        <w:t>;</w:t>
      </w:r>
      <w:r>
        <w:rPr>
          <w:rStyle w:val="FootnoteReference"/>
        </w:rPr>
        <w:footnoteReference w:id="35"/>
      </w:r>
      <w:r>
        <w:t xml:space="preserve"> and</w:t>
      </w:r>
    </w:p>
    <w:p w14:paraId="3E49B4F9" w14:textId="77777777" w:rsidR="00022915" w:rsidRPr="00312531" w:rsidRDefault="00022915" w:rsidP="00022915">
      <w:pPr>
        <w:pStyle w:val="Bullets1stindent"/>
        <w:spacing w:before="60" w:after="240" w:line="240" w:lineRule="auto"/>
      </w:pPr>
      <w:r w:rsidRPr="00312531">
        <w:t>broader</w:t>
      </w:r>
      <w:r>
        <w:t xml:space="preserve"> benefits of changed</w:t>
      </w:r>
      <w:r w:rsidRPr="00312531">
        <w:t xml:space="preserve"> behaviour.</w:t>
      </w:r>
      <w:r>
        <w:rPr>
          <w:rStyle w:val="FootnoteReference"/>
        </w:rPr>
        <w:footnoteReference w:id="36"/>
      </w:r>
    </w:p>
    <w:p w14:paraId="2CB07F03" w14:textId="77777777" w:rsidR="00022915" w:rsidRPr="00312531" w:rsidRDefault="00022915" w:rsidP="00022915">
      <w:r w:rsidRPr="00312531">
        <w:t xml:space="preserve">Broader </w:t>
      </w:r>
      <w:r>
        <w:t xml:space="preserve">benefits of </w:t>
      </w:r>
      <w:r w:rsidRPr="00312531">
        <w:t>behaviour</w:t>
      </w:r>
      <w:r>
        <w:t>al</w:t>
      </w:r>
      <w:r w:rsidRPr="00312531">
        <w:t xml:space="preserve"> change include flow-on benefits to other litter sources because of reduced beverage container litter. While the financial incentive (the</w:t>
      </w:r>
      <w:r>
        <w:t> </w:t>
      </w:r>
      <w:r w:rsidRPr="00312531">
        <w:t>redeemable deposit) will drive behaviour change where beverage containers are concerned, this incentive may also flow through to other litter sources and thus reduce littering of other material.</w:t>
      </w:r>
    </w:p>
    <w:p w14:paraId="0A0565AB" w14:textId="77777777" w:rsidR="00022915" w:rsidRDefault="00022915" w:rsidP="00022915">
      <w:r w:rsidRPr="00312531">
        <w:t xml:space="preserve">The absence of full valuation of non-market benefits restricts the analysis </w:t>
      </w:r>
      <w:r>
        <w:t>because</w:t>
      </w:r>
      <w:r w:rsidRPr="00312531">
        <w:t xml:space="preserve"> it is only possible to make definitive statements about the efficiency of options when all costs and benefits have been fully valued. Where data assumptions have the potential to significantly affect outcomes, uncertainties </w:t>
      </w:r>
      <w:r>
        <w:t xml:space="preserve">have been tested </w:t>
      </w:r>
      <w:r w:rsidRPr="00312531">
        <w:t xml:space="preserve">using sensitivity analysis (described in Section </w:t>
      </w:r>
      <w:r>
        <w:fldChar w:fldCharType="begin"/>
      </w:r>
      <w:r>
        <w:instrText xml:space="preserve"> REF _Ref506539329 \r \h </w:instrText>
      </w:r>
      <w:r>
        <w:fldChar w:fldCharType="separate"/>
      </w:r>
      <w:r>
        <w:t>4.3</w:t>
      </w:r>
      <w:r>
        <w:fldChar w:fldCharType="end"/>
      </w:r>
      <w:r w:rsidRPr="00312531">
        <w:t xml:space="preserve">). </w:t>
      </w:r>
      <w:r>
        <w:t xml:space="preserve"> Including</w:t>
      </w:r>
      <w:r w:rsidRPr="00312531">
        <w:t xml:space="preserve"> th</w:t>
      </w:r>
      <w:r>
        <w:t>o</w:t>
      </w:r>
      <w:r w:rsidRPr="00312531">
        <w:t xml:space="preserve">se unquantified </w:t>
      </w:r>
      <w:r>
        <w:t>factors</w:t>
      </w:r>
      <w:r w:rsidRPr="00312531">
        <w:t xml:space="preserve"> would only improve </w:t>
      </w:r>
      <w:r w:rsidRPr="00B4030B">
        <w:t>the </w:t>
      </w:r>
      <w:r>
        <w:t xml:space="preserve">cost-benefit </w:t>
      </w:r>
      <w:r w:rsidRPr="00B4030B">
        <w:t>analysis outcome.</w:t>
      </w:r>
    </w:p>
    <w:p w14:paraId="0C1A00DB" w14:textId="77777777" w:rsidR="00022915" w:rsidRPr="00D67FDF" w:rsidRDefault="00022915" w:rsidP="00022915">
      <w:pPr>
        <w:pStyle w:val="Heading3"/>
      </w:pPr>
      <w:bookmarkStart w:id="96" w:name="_Toc506552649"/>
      <w:r w:rsidRPr="00D67FDF">
        <w:t>Costs are passed on to consumers</w:t>
      </w:r>
      <w:bookmarkEnd w:id="96"/>
    </w:p>
    <w:p w14:paraId="5C9F79B8" w14:textId="77777777" w:rsidR="00022915" w:rsidRDefault="00022915" w:rsidP="00022915">
      <w:r w:rsidRPr="00CF0D69">
        <w:t xml:space="preserve">The </w:t>
      </w:r>
      <w:r>
        <w:t xml:space="preserve">cost-benefit </w:t>
      </w:r>
      <w:r w:rsidRPr="006D46E8">
        <w:t>analysis</w:t>
      </w:r>
      <w:r w:rsidRPr="00CF0D69">
        <w:t xml:space="preserve"> assumes that container deposits and any additional costs will be passed on to consum</w:t>
      </w:r>
      <w:r w:rsidRPr="001F3A92">
        <w:t>ers by the beverage manuf</w:t>
      </w:r>
      <w:r>
        <w:t>act</w:t>
      </w:r>
      <w:r w:rsidRPr="001F3A92">
        <w:t>uring industry</w:t>
      </w:r>
      <w:r>
        <w:t>.</w:t>
      </w:r>
      <w:r>
        <w:rPr>
          <w:rStyle w:val="FootnoteReference"/>
        </w:rPr>
        <w:footnoteReference w:id="37"/>
      </w:r>
      <w:r w:rsidRPr="001F3A92">
        <w:t xml:space="preserve"> </w:t>
      </w:r>
      <w:r>
        <w:t xml:space="preserve"> This approach is consistent with </w:t>
      </w:r>
      <w:r w:rsidRPr="00EA175F">
        <w:t xml:space="preserve">previous </w:t>
      </w:r>
      <w:r>
        <w:t xml:space="preserve">RISs </w:t>
      </w:r>
      <w:r w:rsidRPr="00EA175F">
        <w:t>for container deposit schemes</w:t>
      </w:r>
      <w:r>
        <w:rPr>
          <w:rStyle w:val="FootnoteReference"/>
        </w:rPr>
        <w:footnoteReference w:id="38"/>
      </w:r>
      <w:r w:rsidRPr="00EA175F">
        <w:t xml:space="preserve"> </w:t>
      </w:r>
      <w:r>
        <w:t>and reflects the nature of the beverage market.</w:t>
      </w:r>
      <w:r>
        <w:rPr>
          <w:rStyle w:val="FootnoteReference"/>
        </w:rPr>
        <w:footnoteReference w:id="39"/>
      </w:r>
      <w:r>
        <w:t xml:space="preserve">  </w:t>
      </w:r>
    </w:p>
    <w:p w14:paraId="6D0D6F78" w14:textId="77777777" w:rsidR="00022915" w:rsidRDefault="00022915" w:rsidP="00022915">
      <w:r>
        <w:t xml:space="preserve">While this assumption does not affect the cost-benefit analysis, it </w:t>
      </w:r>
      <w:r w:rsidRPr="00842270">
        <w:t xml:space="preserve">is reflected in the distributional </w:t>
      </w:r>
      <w:r w:rsidRPr="006A3045">
        <w:t xml:space="preserve">analysis set out in Section </w:t>
      </w:r>
      <w:r w:rsidRPr="006A3045">
        <w:fldChar w:fldCharType="begin"/>
      </w:r>
      <w:r w:rsidRPr="006A3045">
        <w:instrText xml:space="preserve"> REF _Ref498440023 \r \h  \* MERGEFORMAT </w:instrText>
      </w:r>
      <w:r w:rsidRPr="006A3045">
        <w:fldChar w:fldCharType="separate"/>
      </w:r>
      <w:r>
        <w:t>4.5</w:t>
      </w:r>
      <w:r w:rsidRPr="006A3045">
        <w:fldChar w:fldCharType="end"/>
      </w:r>
      <w:r w:rsidRPr="006A3045">
        <w:t xml:space="preserve">. </w:t>
      </w:r>
      <w:r>
        <w:t xml:space="preserve"> It is also noted that w</w:t>
      </w:r>
      <w:r w:rsidRPr="006A3045">
        <w:t>hile</w:t>
      </w:r>
      <w:r w:rsidRPr="001F3A92">
        <w:t xml:space="preserve"> the cost burden has been modelled to fall on consumers, it m</w:t>
      </w:r>
      <w:r>
        <w:t>ight</w:t>
      </w:r>
      <w:r w:rsidRPr="001F3A92">
        <w:t xml:space="preserve"> not always be possible for the food and</w:t>
      </w:r>
      <w:r w:rsidRPr="00CF0D69">
        <w:t xml:space="preserve"> beverage industry to pass costs on to consumers.</w:t>
      </w:r>
      <w:r>
        <w:t xml:space="preserve">  Although no demand response was included in the modelling because the price elasticity of demand is assumed to be low for a CDS, a discussion on elasticities and a qualitative discussion of the impacts is provided in the Appendix.</w:t>
      </w:r>
    </w:p>
    <w:p w14:paraId="377A3073" w14:textId="77777777" w:rsidR="00022915" w:rsidRPr="00D67FDF" w:rsidRDefault="00022915" w:rsidP="00022915">
      <w:pPr>
        <w:pStyle w:val="Heading3"/>
      </w:pPr>
      <w:bookmarkStart w:id="97" w:name="_Toc506552650"/>
      <w:r w:rsidRPr="00D67FDF">
        <w:t>Data and projection uncertainties</w:t>
      </w:r>
      <w:bookmarkEnd w:id="97"/>
    </w:p>
    <w:p w14:paraId="65A18E4E" w14:textId="77777777" w:rsidR="00022915" w:rsidRPr="00222881" w:rsidRDefault="00022915" w:rsidP="00022915">
      <w:r w:rsidRPr="00312531">
        <w:t xml:space="preserve">Although considerable background analysis has been </w:t>
      </w:r>
      <w:r>
        <w:t>undertaken</w:t>
      </w:r>
      <w:r w:rsidRPr="00312531">
        <w:t xml:space="preserve"> to assign suitable values to the variables, in pr</w:t>
      </w:r>
      <w:r>
        <w:t>act</w:t>
      </w:r>
      <w:r w:rsidRPr="00312531">
        <w:t xml:space="preserve">ice there are still uncertainties. </w:t>
      </w:r>
      <w:r>
        <w:t xml:space="preserve"> </w:t>
      </w:r>
      <w:r w:rsidRPr="00312531">
        <w:t>Even variables that are directly valued in the market (such as the value of recovered material) are subject to uncertaint</w:t>
      </w:r>
      <w:r>
        <w:t>ies</w:t>
      </w:r>
      <w:r w:rsidRPr="00312531">
        <w:t xml:space="preserve"> </w:t>
      </w:r>
      <w:r>
        <w:t>such as</w:t>
      </w:r>
      <w:r w:rsidRPr="00312531">
        <w:t xml:space="preserve"> fluctuations in market values over time and differences in market values from region to region </w:t>
      </w:r>
      <w:r w:rsidRPr="00222881">
        <w:t>and internationally.</w:t>
      </w:r>
    </w:p>
    <w:p w14:paraId="01DD4113" w14:textId="77777777" w:rsidR="00022915" w:rsidRPr="00222881" w:rsidRDefault="00022915" w:rsidP="00022915">
      <w:r w:rsidRPr="00222881">
        <w:t xml:space="preserve">Furthermore, all options are subject to uncertainty because of the inherent difficulty of projecting any variable over the 20-year analysis period. </w:t>
      </w:r>
    </w:p>
    <w:p w14:paraId="2016173F" w14:textId="77777777" w:rsidR="00022915" w:rsidRPr="00222881" w:rsidRDefault="00022915" w:rsidP="00022915">
      <w:pPr>
        <w:shd w:val="clear" w:color="auto" w:fill="FFFFFF" w:themeFill="background1"/>
      </w:pPr>
      <w:r w:rsidRPr="00222881">
        <w:t>The impacts of the following factors may be subject to change in the future:</w:t>
      </w:r>
    </w:p>
    <w:p w14:paraId="0A869F37" w14:textId="77777777" w:rsidR="00022915" w:rsidRPr="00222881" w:rsidRDefault="00022915" w:rsidP="00022915">
      <w:pPr>
        <w:pStyle w:val="Bullets1stindent"/>
        <w:shd w:val="clear" w:color="auto" w:fill="FFFFFF" w:themeFill="background1"/>
        <w:spacing w:line="240" w:lineRule="auto"/>
      </w:pPr>
      <w:r w:rsidRPr="00222881">
        <w:t>the return rates;</w:t>
      </w:r>
    </w:p>
    <w:p w14:paraId="6996A47F" w14:textId="77777777" w:rsidR="00022915" w:rsidRPr="00222881" w:rsidRDefault="00022915" w:rsidP="00022915">
      <w:pPr>
        <w:pStyle w:val="Bullets1stindent"/>
        <w:spacing w:line="240" w:lineRule="auto"/>
      </w:pPr>
      <w:r w:rsidRPr="00222881">
        <w:t>recycling levels and decisions of various parties, including local governments, households and businesses, which are also influenced by the use-value of recycling in the absence of additional regulation;</w:t>
      </w:r>
    </w:p>
    <w:p w14:paraId="533179B9" w14:textId="77777777" w:rsidR="00022915" w:rsidRPr="00222881" w:rsidRDefault="00022915" w:rsidP="00022915">
      <w:pPr>
        <w:pStyle w:val="Bullets1stindent"/>
        <w:spacing w:line="240" w:lineRule="auto"/>
      </w:pPr>
      <w:r w:rsidRPr="00222881">
        <w:t>packaging consumption trends, which are affected by factors such as technology, logistical innovations, trade agreements, and food and beverage prices;</w:t>
      </w:r>
    </w:p>
    <w:p w14:paraId="2C178307" w14:textId="77777777" w:rsidR="00022915" w:rsidRPr="00222881" w:rsidRDefault="00022915" w:rsidP="00022915">
      <w:pPr>
        <w:pStyle w:val="Bullets1stindent"/>
        <w:spacing w:line="240" w:lineRule="auto"/>
      </w:pPr>
      <w:r w:rsidRPr="00222881">
        <w:t>the value of the Australian dollar;</w:t>
      </w:r>
    </w:p>
    <w:p w14:paraId="1D0A6EB3" w14:textId="77777777" w:rsidR="00022915" w:rsidRPr="00222881" w:rsidRDefault="00022915" w:rsidP="00022915">
      <w:pPr>
        <w:pStyle w:val="Bullets1stindent"/>
        <w:spacing w:line="240" w:lineRule="auto"/>
      </w:pPr>
      <w:r w:rsidRPr="00222881">
        <w:t>unknown future impacts that may affect the ability of the options to achieve the outcomes specified; and</w:t>
      </w:r>
    </w:p>
    <w:p w14:paraId="3445839F" w14:textId="77777777" w:rsidR="00022915" w:rsidRPr="00222881" w:rsidRDefault="00022915" w:rsidP="00022915">
      <w:pPr>
        <w:pStyle w:val="Bullets1stindent"/>
        <w:spacing w:line="240" w:lineRule="auto"/>
      </w:pPr>
      <w:r w:rsidRPr="00222881">
        <w:t>unintended consequences arising from regulatory intervention and incentives, based on human and market responses that are not always predictable.</w:t>
      </w:r>
    </w:p>
    <w:p w14:paraId="69D7463F" w14:textId="77777777" w:rsidR="00022915" w:rsidRPr="00222881" w:rsidRDefault="00022915" w:rsidP="00022915">
      <w:pPr>
        <w:pStyle w:val="Heading2"/>
      </w:pPr>
      <w:bookmarkStart w:id="98" w:name="_Ref506539329"/>
      <w:bookmarkStart w:id="99" w:name="_Toc506552651"/>
      <w:bookmarkStart w:id="100" w:name="_Toc9375374"/>
      <w:r w:rsidRPr="00222881">
        <w:t>Sensitivity tests</w:t>
      </w:r>
      <w:bookmarkEnd w:id="98"/>
      <w:bookmarkEnd w:id="99"/>
      <w:bookmarkEnd w:id="100"/>
    </w:p>
    <w:p w14:paraId="02AED6C7" w14:textId="77777777" w:rsidR="00022915" w:rsidRPr="00222881" w:rsidRDefault="00022915" w:rsidP="00022915">
      <w:r w:rsidRPr="00222881">
        <w:t xml:space="preserve">Sensitivity testing can help to identify those input values and assumptions that can materially change the results. </w:t>
      </w:r>
    </w:p>
    <w:p w14:paraId="08723563" w14:textId="77777777" w:rsidR="00022915" w:rsidRPr="00222881" w:rsidRDefault="00022915" w:rsidP="00022915">
      <w:r w:rsidRPr="00222881">
        <w:t>This cost-benefit analysis identified key variables and sensitivity tests were undertaken by adjusting the input values of:</w:t>
      </w:r>
    </w:p>
    <w:p w14:paraId="2076C713" w14:textId="77777777" w:rsidR="00022915" w:rsidRPr="00222881" w:rsidRDefault="00022915" w:rsidP="00022915">
      <w:pPr>
        <w:pStyle w:val="Bullets1stindent"/>
        <w:spacing w:before="60" w:line="240" w:lineRule="auto"/>
      </w:pPr>
      <w:r w:rsidRPr="00222881">
        <w:t>discount rates;</w:t>
      </w:r>
    </w:p>
    <w:p w14:paraId="07BFDF8A" w14:textId="77777777" w:rsidR="00022915" w:rsidRPr="00222881" w:rsidRDefault="00022915" w:rsidP="00022915">
      <w:pPr>
        <w:pStyle w:val="Bullets1stindent"/>
        <w:spacing w:before="60" w:line="240" w:lineRule="auto"/>
      </w:pPr>
      <w:r w:rsidRPr="00222881">
        <w:t>the analysis period;</w:t>
      </w:r>
    </w:p>
    <w:p w14:paraId="66EF6BD6" w14:textId="77777777" w:rsidR="00022915" w:rsidRPr="00222881" w:rsidRDefault="00022915" w:rsidP="00022915">
      <w:pPr>
        <w:pStyle w:val="Bullets1stindent"/>
        <w:spacing w:before="60" w:line="240" w:lineRule="auto"/>
      </w:pPr>
      <w:r w:rsidRPr="00222881">
        <w:t>the number of containers;</w:t>
      </w:r>
    </w:p>
    <w:p w14:paraId="0A08E9DE" w14:textId="77777777" w:rsidR="00022915" w:rsidRPr="00222881" w:rsidRDefault="00022915" w:rsidP="00022915">
      <w:pPr>
        <w:pStyle w:val="Bullets1stindent"/>
        <w:spacing w:before="60" w:line="240" w:lineRule="auto"/>
      </w:pPr>
      <w:r w:rsidRPr="00222881">
        <w:t>alternative home and away consumption splits;</w:t>
      </w:r>
    </w:p>
    <w:p w14:paraId="1300A1D9" w14:textId="77777777" w:rsidR="00022915" w:rsidRPr="00222881" w:rsidRDefault="00022915" w:rsidP="00022915">
      <w:pPr>
        <w:pStyle w:val="Bullets1stindent"/>
        <w:spacing w:before="60" w:line="240" w:lineRule="auto"/>
      </w:pPr>
      <w:r w:rsidRPr="00222881">
        <w:t>the kerbside diversion rate;</w:t>
      </w:r>
    </w:p>
    <w:p w14:paraId="1A4DBE27" w14:textId="77777777" w:rsidR="00022915" w:rsidRPr="00222881" w:rsidRDefault="00022915" w:rsidP="00022915">
      <w:pPr>
        <w:pStyle w:val="Bullets1stindent"/>
        <w:spacing w:before="60" w:line="240" w:lineRule="auto"/>
      </w:pPr>
      <w:r w:rsidRPr="00222881">
        <w:t>recyclate values;</w:t>
      </w:r>
    </w:p>
    <w:p w14:paraId="33849A1D" w14:textId="77777777" w:rsidR="00022915" w:rsidRPr="00222881" w:rsidRDefault="00022915" w:rsidP="00022915">
      <w:pPr>
        <w:pStyle w:val="Bullets1stindent"/>
        <w:spacing w:before="60" w:line="240" w:lineRule="auto"/>
      </w:pPr>
      <w:r w:rsidRPr="00222881">
        <w:t>willingness to pay to avoid litter and increase recycling;</w:t>
      </w:r>
    </w:p>
    <w:p w14:paraId="01190A01" w14:textId="77777777" w:rsidR="00022915" w:rsidRPr="00222881" w:rsidRDefault="00022915" w:rsidP="00022915">
      <w:pPr>
        <w:pStyle w:val="Bullets1stindent"/>
        <w:spacing w:before="60" w:line="240" w:lineRule="auto"/>
      </w:pPr>
      <w:r w:rsidRPr="00222881">
        <w:t xml:space="preserve">willingness to pay threshold analysis; </w:t>
      </w:r>
    </w:p>
    <w:p w14:paraId="38A17612" w14:textId="77777777" w:rsidR="00022915" w:rsidRPr="00222881" w:rsidRDefault="00022915" w:rsidP="00022915">
      <w:pPr>
        <w:pStyle w:val="Bullets1stindent"/>
        <w:spacing w:before="60" w:line="240" w:lineRule="auto"/>
      </w:pPr>
      <w:r w:rsidRPr="00222881">
        <w:t>propensity to litter; and</w:t>
      </w:r>
    </w:p>
    <w:p w14:paraId="253B62BD" w14:textId="77777777" w:rsidR="00022915" w:rsidRPr="00222881" w:rsidRDefault="00022915" w:rsidP="00022915">
      <w:pPr>
        <w:pStyle w:val="Bullets1stindent"/>
        <w:spacing w:before="60" w:line="240" w:lineRule="auto"/>
      </w:pPr>
      <w:r w:rsidRPr="00222881">
        <w:t>the number of refund points.</w:t>
      </w:r>
    </w:p>
    <w:p w14:paraId="7247B590" w14:textId="77777777" w:rsidR="00022915" w:rsidRPr="00222881" w:rsidRDefault="00022915" w:rsidP="00022915">
      <w:r w:rsidRPr="00222881">
        <w:t xml:space="preserve">Sensitivity tests are focussed on key variables and where input values are uncertain.  While a range of other variations to the scheme could be considered (such as refund values), consistency with other jurisdictions was a key objective to minimise public confusion and regulatory burden for industry.  </w:t>
      </w:r>
    </w:p>
    <w:p w14:paraId="440D4B66" w14:textId="77777777" w:rsidR="00022915" w:rsidRPr="00222881" w:rsidRDefault="00022915" w:rsidP="00022915">
      <w:pPr>
        <w:pStyle w:val="Heading3"/>
      </w:pPr>
      <w:bookmarkStart w:id="101" w:name="_Toc506552652"/>
      <w:r w:rsidRPr="00222881">
        <w:t>Discount rate</w:t>
      </w:r>
      <w:bookmarkEnd w:id="101"/>
    </w:p>
    <w:p w14:paraId="4D126C15" w14:textId="77777777" w:rsidR="00022915" w:rsidRPr="00222881" w:rsidRDefault="00022915" w:rsidP="00022915">
      <w:r w:rsidRPr="00222881">
        <w:t xml:space="preserve">The stream of costs and benefits (in real terms) has been discounted using a real discount rate of seven per cent. Sensitivity testing uses real discount rates of three and 10 per cent. These values align with the discount rates proposed by the Australian Government’s Office of Best Practice Regulation (OBPR 2016). </w:t>
      </w:r>
    </w:p>
    <w:p w14:paraId="56C94E46" w14:textId="77777777" w:rsidR="00022915" w:rsidRPr="00222881" w:rsidRDefault="00022915" w:rsidP="00022915">
      <w:r w:rsidRPr="00222881">
        <w:t xml:space="preserve">The results from discount rate sensitivity tests are set out in </w:t>
      </w:r>
      <w:r w:rsidRPr="00222881">
        <w:fldChar w:fldCharType="begin"/>
      </w:r>
      <w:r w:rsidRPr="00222881">
        <w:instrText xml:space="preserve"> REF _Ref499721264 \h  \* MERGEFORMAT </w:instrText>
      </w:r>
      <w:r w:rsidRPr="00222881">
        <w:fldChar w:fldCharType="separate"/>
      </w:r>
      <w:r w:rsidRPr="00222881">
        <w:t xml:space="preserve">Table </w:t>
      </w:r>
      <w:r>
        <w:rPr>
          <w:noProof/>
        </w:rPr>
        <w:t>4</w:t>
      </w:r>
      <w:r w:rsidRPr="00222881">
        <w:fldChar w:fldCharType="end"/>
      </w:r>
      <w:r w:rsidRPr="00222881">
        <w:t xml:space="preserve">, which shows that the benefit-cost ratio result is not highly dependent on the assumed discount rate. </w:t>
      </w:r>
    </w:p>
    <w:p w14:paraId="03CCBBCF" w14:textId="77777777" w:rsidR="00022915" w:rsidRPr="00222881" w:rsidRDefault="00022915" w:rsidP="00022915">
      <w:pPr>
        <w:pStyle w:val="Caption"/>
      </w:pPr>
      <w:bookmarkStart w:id="102" w:name="_Ref499721264"/>
      <w:bookmarkStart w:id="103" w:name="_Toc500154278"/>
      <w:bookmarkStart w:id="104" w:name="_Toc506552687"/>
      <w:bookmarkStart w:id="105" w:name="_Toc10031213"/>
      <w:r w:rsidRPr="00222881">
        <w:t xml:space="preserve">Table </w:t>
      </w:r>
      <w:r w:rsidR="00CF34D3">
        <w:rPr>
          <w:noProof/>
        </w:rPr>
        <w:fldChar w:fldCharType="begin"/>
      </w:r>
      <w:r w:rsidR="00CF34D3">
        <w:rPr>
          <w:noProof/>
        </w:rPr>
        <w:instrText xml:space="preserve"> SEQ Table \* ARABIC </w:instrText>
      </w:r>
      <w:r w:rsidR="00CF34D3">
        <w:rPr>
          <w:noProof/>
        </w:rPr>
        <w:fldChar w:fldCharType="separate"/>
      </w:r>
      <w:r>
        <w:rPr>
          <w:noProof/>
        </w:rPr>
        <w:t>4</w:t>
      </w:r>
      <w:r w:rsidR="00CF34D3">
        <w:rPr>
          <w:noProof/>
        </w:rPr>
        <w:fldChar w:fldCharType="end"/>
      </w:r>
      <w:bookmarkEnd w:id="102"/>
      <w:r w:rsidRPr="00222881">
        <w:t>: Discount rate sensitivity test</w:t>
      </w:r>
      <w:bookmarkEnd w:id="103"/>
      <w:bookmarkEnd w:id="104"/>
      <w:bookmarkEnd w:id="10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iscount rate sensitivity test"/>
        <w:tblDescription w:val="Results of the cost benefit analysis using different discount rates."/>
      </w:tblPr>
      <w:tblGrid>
        <w:gridCol w:w="4092"/>
        <w:gridCol w:w="2489"/>
        <w:gridCol w:w="2491"/>
      </w:tblGrid>
      <w:tr w:rsidR="00022915" w:rsidRPr="00222881" w14:paraId="5D27BC9D" w14:textId="77777777" w:rsidTr="00C53AB1">
        <w:trPr>
          <w:tblHeader/>
        </w:trPr>
        <w:tc>
          <w:tcPr>
            <w:tcW w:w="4092" w:type="dxa"/>
            <w:shd w:val="clear" w:color="auto" w:fill="D9D9D9" w:themeFill="background1" w:themeFillShade="D9"/>
            <w:vAlign w:val="center"/>
          </w:tcPr>
          <w:p w14:paraId="604DA8A6" w14:textId="77777777" w:rsidR="00022915" w:rsidRPr="00222881" w:rsidRDefault="00022915" w:rsidP="00C53AB1">
            <w:pPr>
              <w:pStyle w:val="Tableheading0"/>
            </w:pPr>
            <w:r w:rsidRPr="00222881">
              <w:t xml:space="preserve">Variable </w:t>
            </w:r>
            <w:r w:rsidRPr="00222881">
              <w:noBreakHyphen/>
              <w:t xml:space="preserve"> discount rate</w:t>
            </w:r>
          </w:p>
        </w:tc>
        <w:tc>
          <w:tcPr>
            <w:tcW w:w="2489" w:type="dxa"/>
            <w:shd w:val="clear" w:color="auto" w:fill="D9D9D9" w:themeFill="background1" w:themeFillShade="D9"/>
            <w:vAlign w:val="center"/>
          </w:tcPr>
          <w:p w14:paraId="1E4BC7D7" w14:textId="77777777" w:rsidR="00022915" w:rsidRPr="00222881" w:rsidRDefault="00022915" w:rsidP="00C53AB1">
            <w:pPr>
              <w:pStyle w:val="Tableheading0"/>
            </w:pPr>
            <w:r w:rsidRPr="00222881">
              <w:t xml:space="preserve">Net present value </w:t>
            </w:r>
            <w:r w:rsidRPr="00222881">
              <w:br/>
              <w:t>($ million)</w:t>
            </w:r>
          </w:p>
        </w:tc>
        <w:tc>
          <w:tcPr>
            <w:tcW w:w="2491" w:type="dxa"/>
            <w:shd w:val="clear" w:color="auto" w:fill="D9D9D9" w:themeFill="background1" w:themeFillShade="D9"/>
            <w:vAlign w:val="center"/>
          </w:tcPr>
          <w:p w14:paraId="5C3E4D48" w14:textId="77777777" w:rsidR="00022915" w:rsidRPr="00222881" w:rsidRDefault="00022915" w:rsidP="00C53AB1">
            <w:pPr>
              <w:pStyle w:val="Tableheading0"/>
            </w:pPr>
            <w:r w:rsidRPr="00222881">
              <w:t>Benefit-cost ratio</w:t>
            </w:r>
          </w:p>
        </w:tc>
      </w:tr>
      <w:tr w:rsidR="00022915" w:rsidRPr="00222881" w14:paraId="1259199A" w14:textId="77777777" w:rsidTr="00C53AB1">
        <w:tc>
          <w:tcPr>
            <w:tcW w:w="4092" w:type="dxa"/>
            <w:shd w:val="clear" w:color="auto" w:fill="auto"/>
            <w:vAlign w:val="center"/>
          </w:tcPr>
          <w:p w14:paraId="587BBDBB" w14:textId="77777777" w:rsidR="00022915" w:rsidRPr="00222881" w:rsidRDefault="00022915" w:rsidP="00C53AB1">
            <w:pPr>
              <w:pStyle w:val="Tabletext0"/>
              <w:widowControl w:val="0"/>
              <w:tabs>
                <w:tab w:val="decimal" w:pos="601"/>
              </w:tabs>
              <w:spacing w:before="60"/>
              <w:rPr>
                <w:rFonts w:cs="Arial"/>
                <w:szCs w:val="20"/>
              </w:rPr>
            </w:pPr>
            <w:r w:rsidRPr="00222881">
              <w:rPr>
                <w:rFonts w:cs="Arial"/>
                <w:szCs w:val="20"/>
              </w:rPr>
              <w:t xml:space="preserve">7% </w:t>
            </w:r>
          </w:p>
        </w:tc>
        <w:tc>
          <w:tcPr>
            <w:tcW w:w="2489" w:type="dxa"/>
            <w:shd w:val="clear" w:color="auto" w:fill="auto"/>
            <w:vAlign w:val="center"/>
          </w:tcPr>
          <w:p w14:paraId="1E2AA1F3" w14:textId="77777777" w:rsidR="00022915" w:rsidRPr="00222881" w:rsidRDefault="00022915" w:rsidP="00C53AB1">
            <w:pPr>
              <w:pStyle w:val="Tabletext0"/>
              <w:widowControl w:val="0"/>
              <w:spacing w:before="60"/>
              <w:jc w:val="center"/>
              <w:rPr>
                <w:rFonts w:cs="Arial"/>
                <w:szCs w:val="20"/>
              </w:rPr>
            </w:pPr>
            <w:r w:rsidRPr="00222881">
              <w:rPr>
                <w:rFonts w:cs="Arial"/>
                <w:szCs w:val="20"/>
              </w:rPr>
              <w:t>128</w:t>
            </w:r>
          </w:p>
        </w:tc>
        <w:tc>
          <w:tcPr>
            <w:tcW w:w="2491" w:type="dxa"/>
            <w:shd w:val="clear" w:color="auto" w:fill="auto"/>
            <w:vAlign w:val="center"/>
          </w:tcPr>
          <w:p w14:paraId="6493BA25" w14:textId="77777777" w:rsidR="00022915" w:rsidRPr="00222881" w:rsidRDefault="00022915" w:rsidP="00C53AB1">
            <w:pPr>
              <w:pStyle w:val="Tabletext0"/>
              <w:widowControl w:val="0"/>
              <w:spacing w:before="60"/>
              <w:jc w:val="center"/>
              <w:rPr>
                <w:rFonts w:cs="Arial"/>
                <w:szCs w:val="20"/>
              </w:rPr>
            </w:pPr>
            <w:r w:rsidRPr="00222881">
              <w:rPr>
                <w:rFonts w:cs="Arial"/>
                <w:szCs w:val="20"/>
              </w:rPr>
              <w:t>1.29</w:t>
            </w:r>
          </w:p>
        </w:tc>
      </w:tr>
      <w:tr w:rsidR="00022915" w:rsidRPr="00222881" w14:paraId="0F38575A" w14:textId="77777777" w:rsidTr="00C53AB1">
        <w:tc>
          <w:tcPr>
            <w:tcW w:w="4092" w:type="dxa"/>
            <w:shd w:val="clear" w:color="auto" w:fill="auto"/>
            <w:vAlign w:val="center"/>
          </w:tcPr>
          <w:p w14:paraId="7F37DB98" w14:textId="77777777" w:rsidR="00022915" w:rsidRPr="00222881" w:rsidRDefault="00022915" w:rsidP="00C53AB1">
            <w:pPr>
              <w:pStyle w:val="Tabletext0"/>
              <w:widowControl w:val="0"/>
              <w:tabs>
                <w:tab w:val="decimal" w:pos="601"/>
              </w:tabs>
              <w:spacing w:before="60"/>
              <w:rPr>
                <w:rFonts w:cs="Arial"/>
                <w:szCs w:val="20"/>
              </w:rPr>
            </w:pPr>
            <w:r w:rsidRPr="00222881">
              <w:rPr>
                <w:rFonts w:cs="Arial"/>
                <w:szCs w:val="20"/>
              </w:rPr>
              <w:t>3% (sensitivity)</w:t>
            </w:r>
          </w:p>
        </w:tc>
        <w:tc>
          <w:tcPr>
            <w:tcW w:w="2489" w:type="dxa"/>
            <w:shd w:val="clear" w:color="auto" w:fill="auto"/>
            <w:vAlign w:val="center"/>
          </w:tcPr>
          <w:p w14:paraId="1CF04E55" w14:textId="77777777" w:rsidR="00022915" w:rsidRPr="00222881" w:rsidRDefault="00022915" w:rsidP="00C53AB1">
            <w:pPr>
              <w:pStyle w:val="Tabletext0"/>
              <w:widowControl w:val="0"/>
              <w:spacing w:before="60"/>
              <w:jc w:val="center"/>
              <w:rPr>
                <w:rFonts w:cs="Arial"/>
                <w:szCs w:val="20"/>
              </w:rPr>
            </w:pPr>
            <w:r w:rsidRPr="00222881">
              <w:rPr>
                <w:rFonts w:cs="Arial"/>
                <w:szCs w:val="20"/>
              </w:rPr>
              <w:t>199</w:t>
            </w:r>
          </w:p>
        </w:tc>
        <w:tc>
          <w:tcPr>
            <w:tcW w:w="2491" w:type="dxa"/>
            <w:shd w:val="clear" w:color="auto" w:fill="auto"/>
            <w:vAlign w:val="center"/>
          </w:tcPr>
          <w:p w14:paraId="49F9CCF3" w14:textId="77777777" w:rsidR="00022915" w:rsidRPr="00222881" w:rsidRDefault="00022915" w:rsidP="00C53AB1">
            <w:pPr>
              <w:pStyle w:val="Tabletext0"/>
              <w:widowControl w:val="0"/>
              <w:spacing w:before="60"/>
              <w:jc w:val="center"/>
              <w:rPr>
                <w:rFonts w:cs="Arial"/>
                <w:szCs w:val="20"/>
              </w:rPr>
            </w:pPr>
            <w:r w:rsidRPr="00222881">
              <w:rPr>
                <w:rFonts w:cs="Arial"/>
                <w:szCs w:val="20"/>
              </w:rPr>
              <w:t>1.32</w:t>
            </w:r>
          </w:p>
        </w:tc>
      </w:tr>
      <w:tr w:rsidR="00022915" w:rsidRPr="00222881" w14:paraId="17446B05" w14:textId="77777777" w:rsidTr="00C53AB1">
        <w:tc>
          <w:tcPr>
            <w:tcW w:w="4092" w:type="dxa"/>
            <w:shd w:val="clear" w:color="auto" w:fill="auto"/>
            <w:vAlign w:val="center"/>
          </w:tcPr>
          <w:p w14:paraId="7F7BDFB3" w14:textId="77777777" w:rsidR="00022915" w:rsidRPr="00222881" w:rsidRDefault="00022915" w:rsidP="00C53AB1">
            <w:pPr>
              <w:pStyle w:val="Tabletext0"/>
              <w:widowControl w:val="0"/>
              <w:tabs>
                <w:tab w:val="decimal" w:pos="601"/>
              </w:tabs>
              <w:spacing w:before="60"/>
              <w:rPr>
                <w:rFonts w:cs="Arial"/>
                <w:szCs w:val="20"/>
              </w:rPr>
            </w:pPr>
            <w:r w:rsidRPr="00222881">
              <w:rPr>
                <w:rFonts w:cs="Arial"/>
                <w:szCs w:val="20"/>
              </w:rPr>
              <w:t>10% (sensitivity)</w:t>
            </w:r>
          </w:p>
        </w:tc>
        <w:tc>
          <w:tcPr>
            <w:tcW w:w="2489" w:type="dxa"/>
            <w:shd w:val="clear" w:color="auto" w:fill="auto"/>
            <w:vAlign w:val="center"/>
          </w:tcPr>
          <w:p w14:paraId="4E41C538" w14:textId="77777777" w:rsidR="00022915" w:rsidRPr="00222881" w:rsidRDefault="00022915" w:rsidP="00C53AB1">
            <w:pPr>
              <w:pStyle w:val="Tabletext0"/>
              <w:widowControl w:val="0"/>
              <w:spacing w:before="60"/>
              <w:jc w:val="center"/>
              <w:rPr>
                <w:rFonts w:cs="Arial"/>
                <w:szCs w:val="20"/>
              </w:rPr>
            </w:pPr>
            <w:r w:rsidRPr="00222881">
              <w:rPr>
                <w:rFonts w:cs="Arial"/>
                <w:szCs w:val="20"/>
              </w:rPr>
              <w:t>94</w:t>
            </w:r>
          </w:p>
        </w:tc>
        <w:tc>
          <w:tcPr>
            <w:tcW w:w="2491" w:type="dxa"/>
            <w:shd w:val="clear" w:color="auto" w:fill="auto"/>
            <w:vAlign w:val="center"/>
          </w:tcPr>
          <w:p w14:paraId="4C37E476" w14:textId="77777777" w:rsidR="00022915" w:rsidRPr="00222881" w:rsidRDefault="00022915" w:rsidP="00C53AB1">
            <w:pPr>
              <w:pStyle w:val="Tabletext0"/>
              <w:widowControl w:val="0"/>
              <w:spacing w:before="60"/>
              <w:jc w:val="center"/>
              <w:rPr>
                <w:rFonts w:cs="Arial"/>
                <w:szCs w:val="20"/>
              </w:rPr>
            </w:pPr>
            <w:r w:rsidRPr="00222881">
              <w:rPr>
                <w:rFonts w:cs="Arial"/>
                <w:szCs w:val="20"/>
              </w:rPr>
              <w:t>1.27</w:t>
            </w:r>
          </w:p>
        </w:tc>
      </w:tr>
    </w:tbl>
    <w:p w14:paraId="36CA64BA" w14:textId="77777777" w:rsidR="00022915" w:rsidRPr="00222881" w:rsidRDefault="00022915" w:rsidP="00022915">
      <w:pPr>
        <w:pStyle w:val="Heading3"/>
      </w:pPr>
      <w:bookmarkStart w:id="106" w:name="_Toc506552653"/>
      <w:r w:rsidRPr="00222881">
        <w:t>Analysis period</w:t>
      </w:r>
      <w:bookmarkEnd w:id="106"/>
    </w:p>
    <w:p w14:paraId="0D86F91B" w14:textId="77777777" w:rsidR="00022915" w:rsidRPr="00222881" w:rsidRDefault="00022915" w:rsidP="00022915">
      <w:r w:rsidRPr="00222881">
        <w:t xml:space="preserve">A 20-year period is used in the analysis because it is assumed that the CDS will take several years to be established and for participation to develop. This analysis period accords with the Office of Best Practice Regulation’s </w:t>
      </w:r>
      <w:r w:rsidRPr="00222881">
        <w:rPr>
          <w:i/>
        </w:rPr>
        <w:t>Cost</w:t>
      </w:r>
      <w:r w:rsidRPr="00222881">
        <w:rPr>
          <w:i/>
        </w:rPr>
        <w:noBreakHyphen/>
        <w:t>benefit analysis guidance note</w:t>
      </w:r>
      <w:r w:rsidRPr="00222881">
        <w:t>.</w:t>
      </w:r>
    </w:p>
    <w:p w14:paraId="0E0F49DE" w14:textId="77777777" w:rsidR="00022915" w:rsidRPr="00222881" w:rsidRDefault="00022915" w:rsidP="00022915">
      <w:r w:rsidRPr="00222881">
        <w:fldChar w:fldCharType="begin"/>
      </w:r>
      <w:r w:rsidRPr="00222881">
        <w:instrText xml:space="preserve"> REF _Ref499721325 \h  \* MERGEFORMAT </w:instrText>
      </w:r>
      <w:r w:rsidRPr="00222881">
        <w:fldChar w:fldCharType="separate"/>
      </w:r>
      <w:r w:rsidRPr="00222881">
        <w:t xml:space="preserve">Table </w:t>
      </w:r>
      <w:r>
        <w:rPr>
          <w:noProof/>
        </w:rPr>
        <w:t>5</w:t>
      </w:r>
      <w:r w:rsidRPr="00222881">
        <w:fldChar w:fldCharType="end"/>
      </w:r>
      <w:r w:rsidRPr="00222881">
        <w:t xml:space="preserve"> reports the results when the analysis period is reduced to ten years.  The shorter analysis period reduces the net present value from $128 million to $51 million. The benefit-cost ratio outcome declines from 1.29 to 1.20.</w:t>
      </w:r>
    </w:p>
    <w:p w14:paraId="7B9180F1" w14:textId="77777777" w:rsidR="00022915" w:rsidRPr="00222881" w:rsidRDefault="00022915" w:rsidP="00022915">
      <w:pPr>
        <w:pStyle w:val="Caption"/>
      </w:pPr>
      <w:bookmarkStart w:id="107" w:name="_Ref499721325"/>
      <w:bookmarkStart w:id="108" w:name="_Toc500154279"/>
      <w:bookmarkStart w:id="109" w:name="_Toc506552688"/>
      <w:bookmarkStart w:id="110" w:name="_Toc10031214"/>
      <w:r w:rsidRPr="00222881">
        <w:t xml:space="preserve">Table </w:t>
      </w:r>
      <w:r w:rsidR="00CF34D3">
        <w:rPr>
          <w:noProof/>
        </w:rPr>
        <w:fldChar w:fldCharType="begin"/>
      </w:r>
      <w:r w:rsidR="00CF34D3">
        <w:rPr>
          <w:noProof/>
        </w:rPr>
        <w:instrText xml:space="preserve"> SEQ Table \* ARABIC </w:instrText>
      </w:r>
      <w:r w:rsidR="00CF34D3">
        <w:rPr>
          <w:noProof/>
        </w:rPr>
        <w:fldChar w:fldCharType="separate"/>
      </w:r>
      <w:r>
        <w:rPr>
          <w:noProof/>
        </w:rPr>
        <w:t>5</w:t>
      </w:r>
      <w:r w:rsidR="00CF34D3">
        <w:rPr>
          <w:noProof/>
        </w:rPr>
        <w:fldChar w:fldCharType="end"/>
      </w:r>
      <w:bookmarkEnd w:id="107"/>
      <w:r w:rsidRPr="00222881">
        <w:t>: Analysis period sensitivity test</w:t>
      </w:r>
      <w:bookmarkEnd w:id="108"/>
      <w:bookmarkEnd w:id="109"/>
      <w:bookmarkEnd w:id="11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nalysis period sensitivity test"/>
        <w:tblDescription w:val="Summary of the cost benefit analysis results using a shorter timeframe (10 years) compared to 20 years."/>
      </w:tblPr>
      <w:tblGrid>
        <w:gridCol w:w="4092"/>
        <w:gridCol w:w="2489"/>
        <w:gridCol w:w="2491"/>
      </w:tblGrid>
      <w:tr w:rsidR="00022915" w:rsidRPr="00222881" w14:paraId="7FC4A787" w14:textId="77777777" w:rsidTr="00C53AB1">
        <w:trPr>
          <w:tblHeader/>
        </w:trPr>
        <w:tc>
          <w:tcPr>
            <w:tcW w:w="4092" w:type="dxa"/>
            <w:shd w:val="clear" w:color="auto" w:fill="D9D9D9" w:themeFill="background1" w:themeFillShade="D9"/>
            <w:vAlign w:val="center"/>
          </w:tcPr>
          <w:p w14:paraId="180C9FB4" w14:textId="77777777" w:rsidR="00022915" w:rsidRPr="00222881" w:rsidRDefault="00022915" w:rsidP="00C53AB1">
            <w:pPr>
              <w:pStyle w:val="Tableheading0"/>
            </w:pPr>
            <w:r w:rsidRPr="00222881">
              <w:t xml:space="preserve">Variable </w:t>
            </w:r>
            <w:r w:rsidRPr="00222881">
              <w:noBreakHyphen/>
              <w:t xml:space="preserve"> analysis period</w:t>
            </w:r>
          </w:p>
        </w:tc>
        <w:tc>
          <w:tcPr>
            <w:tcW w:w="2489" w:type="dxa"/>
            <w:shd w:val="clear" w:color="auto" w:fill="D9D9D9" w:themeFill="background1" w:themeFillShade="D9"/>
            <w:vAlign w:val="center"/>
          </w:tcPr>
          <w:p w14:paraId="37578380" w14:textId="77777777" w:rsidR="00022915" w:rsidRPr="00222881" w:rsidRDefault="00022915" w:rsidP="00C53AB1">
            <w:pPr>
              <w:pStyle w:val="Tableheading0"/>
            </w:pPr>
            <w:r w:rsidRPr="00222881">
              <w:t xml:space="preserve">Net present value </w:t>
            </w:r>
            <w:r w:rsidRPr="00222881">
              <w:br/>
              <w:t>($ million)</w:t>
            </w:r>
          </w:p>
        </w:tc>
        <w:tc>
          <w:tcPr>
            <w:tcW w:w="2491" w:type="dxa"/>
            <w:shd w:val="clear" w:color="auto" w:fill="D9D9D9" w:themeFill="background1" w:themeFillShade="D9"/>
            <w:vAlign w:val="center"/>
          </w:tcPr>
          <w:p w14:paraId="335C8770" w14:textId="77777777" w:rsidR="00022915" w:rsidRPr="00222881" w:rsidRDefault="00022915" w:rsidP="00C53AB1">
            <w:pPr>
              <w:pStyle w:val="Tableheading0"/>
            </w:pPr>
            <w:r w:rsidRPr="00222881">
              <w:t>Benefit-cost ratio</w:t>
            </w:r>
          </w:p>
        </w:tc>
      </w:tr>
      <w:tr w:rsidR="00022915" w:rsidRPr="00222881" w14:paraId="7860D12C" w14:textId="77777777" w:rsidTr="00C53AB1">
        <w:tc>
          <w:tcPr>
            <w:tcW w:w="4092" w:type="dxa"/>
            <w:shd w:val="clear" w:color="auto" w:fill="auto"/>
            <w:vAlign w:val="center"/>
          </w:tcPr>
          <w:p w14:paraId="365BF010" w14:textId="77777777" w:rsidR="00022915" w:rsidRPr="00222881" w:rsidRDefault="00022915" w:rsidP="00C53AB1">
            <w:pPr>
              <w:pStyle w:val="Tabletext0"/>
              <w:widowControl w:val="0"/>
              <w:spacing w:before="60"/>
              <w:rPr>
                <w:rFonts w:cs="Arial"/>
                <w:szCs w:val="20"/>
              </w:rPr>
            </w:pPr>
            <w:r w:rsidRPr="00222881">
              <w:rPr>
                <w:rFonts w:cs="Arial"/>
                <w:szCs w:val="20"/>
              </w:rPr>
              <w:t>20 years</w:t>
            </w:r>
          </w:p>
        </w:tc>
        <w:tc>
          <w:tcPr>
            <w:tcW w:w="2489" w:type="dxa"/>
            <w:shd w:val="clear" w:color="auto" w:fill="auto"/>
            <w:vAlign w:val="center"/>
          </w:tcPr>
          <w:p w14:paraId="00155FC5" w14:textId="77777777" w:rsidR="00022915" w:rsidRPr="00222881" w:rsidRDefault="00022915" w:rsidP="00C53AB1">
            <w:pPr>
              <w:pStyle w:val="Tabletext0"/>
              <w:widowControl w:val="0"/>
              <w:spacing w:before="60"/>
              <w:jc w:val="center"/>
              <w:rPr>
                <w:rFonts w:cs="Arial"/>
                <w:szCs w:val="20"/>
              </w:rPr>
            </w:pPr>
            <w:r w:rsidRPr="00222881">
              <w:rPr>
                <w:rFonts w:cs="Arial"/>
                <w:szCs w:val="20"/>
              </w:rPr>
              <w:t>128</w:t>
            </w:r>
          </w:p>
        </w:tc>
        <w:tc>
          <w:tcPr>
            <w:tcW w:w="2491" w:type="dxa"/>
            <w:shd w:val="clear" w:color="auto" w:fill="auto"/>
            <w:vAlign w:val="center"/>
          </w:tcPr>
          <w:p w14:paraId="4F07C6C2" w14:textId="77777777" w:rsidR="00022915" w:rsidRPr="00222881" w:rsidRDefault="00022915" w:rsidP="00C53AB1">
            <w:pPr>
              <w:pStyle w:val="Tabletext0"/>
              <w:widowControl w:val="0"/>
              <w:spacing w:before="60"/>
              <w:jc w:val="center"/>
              <w:rPr>
                <w:rFonts w:cs="Arial"/>
                <w:szCs w:val="20"/>
              </w:rPr>
            </w:pPr>
            <w:r w:rsidRPr="00222881">
              <w:rPr>
                <w:rFonts w:cs="Arial"/>
                <w:szCs w:val="20"/>
              </w:rPr>
              <w:t>1.29</w:t>
            </w:r>
          </w:p>
        </w:tc>
      </w:tr>
      <w:tr w:rsidR="00022915" w:rsidRPr="00222881" w14:paraId="7604577E" w14:textId="77777777" w:rsidTr="00C53AB1">
        <w:tc>
          <w:tcPr>
            <w:tcW w:w="4092" w:type="dxa"/>
            <w:shd w:val="clear" w:color="auto" w:fill="auto"/>
            <w:vAlign w:val="center"/>
          </w:tcPr>
          <w:p w14:paraId="35458483" w14:textId="77777777" w:rsidR="00022915" w:rsidRPr="00222881" w:rsidRDefault="00022915" w:rsidP="00C53AB1">
            <w:pPr>
              <w:pStyle w:val="Tabletext0"/>
              <w:widowControl w:val="0"/>
              <w:spacing w:before="60"/>
              <w:rPr>
                <w:rFonts w:cs="Arial"/>
                <w:szCs w:val="20"/>
              </w:rPr>
            </w:pPr>
            <w:r w:rsidRPr="00222881">
              <w:rPr>
                <w:rFonts w:cs="Arial"/>
                <w:szCs w:val="20"/>
              </w:rPr>
              <w:t>10 years (sensitivity)</w:t>
            </w:r>
          </w:p>
        </w:tc>
        <w:tc>
          <w:tcPr>
            <w:tcW w:w="2489" w:type="dxa"/>
            <w:shd w:val="clear" w:color="auto" w:fill="auto"/>
            <w:vAlign w:val="center"/>
          </w:tcPr>
          <w:p w14:paraId="46F9756C" w14:textId="77777777" w:rsidR="00022915" w:rsidRPr="00222881" w:rsidRDefault="00022915" w:rsidP="00C53AB1">
            <w:pPr>
              <w:pStyle w:val="Tabletext0"/>
              <w:widowControl w:val="0"/>
              <w:spacing w:before="60"/>
              <w:jc w:val="center"/>
              <w:rPr>
                <w:rFonts w:cs="Arial"/>
                <w:szCs w:val="20"/>
              </w:rPr>
            </w:pPr>
            <w:r w:rsidRPr="00222881">
              <w:rPr>
                <w:rFonts w:cs="Arial"/>
                <w:szCs w:val="20"/>
              </w:rPr>
              <w:t>51</w:t>
            </w:r>
          </w:p>
        </w:tc>
        <w:tc>
          <w:tcPr>
            <w:tcW w:w="2491" w:type="dxa"/>
            <w:shd w:val="clear" w:color="auto" w:fill="auto"/>
            <w:vAlign w:val="center"/>
          </w:tcPr>
          <w:p w14:paraId="6B1A9649" w14:textId="77777777" w:rsidR="00022915" w:rsidRPr="00222881" w:rsidRDefault="00022915" w:rsidP="00C53AB1">
            <w:pPr>
              <w:pStyle w:val="Tabletext0"/>
              <w:widowControl w:val="0"/>
              <w:spacing w:before="60"/>
              <w:jc w:val="center"/>
              <w:rPr>
                <w:rFonts w:cs="Arial"/>
                <w:szCs w:val="20"/>
              </w:rPr>
            </w:pPr>
            <w:r w:rsidRPr="00222881">
              <w:rPr>
                <w:rFonts w:cs="Arial"/>
                <w:szCs w:val="20"/>
              </w:rPr>
              <w:t>1.20</w:t>
            </w:r>
          </w:p>
        </w:tc>
      </w:tr>
    </w:tbl>
    <w:p w14:paraId="1F9D690C" w14:textId="77777777" w:rsidR="00022915" w:rsidRPr="00222881" w:rsidRDefault="00022915" w:rsidP="00022915">
      <w:pPr>
        <w:pStyle w:val="Heading3"/>
      </w:pPr>
      <w:bookmarkStart w:id="111" w:name="_Toc506552654"/>
      <w:r w:rsidRPr="00222881">
        <w:t>Number of containers</w:t>
      </w:r>
      <w:bookmarkEnd w:id="111"/>
    </w:p>
    <w:p w14:paraId="74D3B6F7" w14:textId="77777777" w:rsidR="00022915" w:rsidRPr="00222881" w:rsidRDefault="00022915" w:rsidP="00022915">
      <w:r w:rsidRPr="00222881">
        <w:t>The business-as-usual case assumes a ‘container universe’ of around 1,800 million beverage containers, of which 1,300 million containers are redeemable under the CDS.  There is some uncertainty about the container universe, so sensitivity testing (+/–10%) was performed on that assumption (</w:t>
      </w:r>
      <w:r w:rsidRPr="00222881">
        <w:fldChar w:fldCharType="begin"/>
      </w:r>
      <w:r w:rsidRPr="00222881">
        <w:instrText xml:space="preserve"> REF _Ref499721449 \h  \* MERGEFORMAT </w:instrText>
      </w:r>
      <w:r w:rsidRPr="00222881">
        <w:fldChar w:fldCharType="separate"/>
      </w:r>
      <w:r w:rsidRPr="00222881">
        <w:t xml:space="preserve">Table </w:t>
      </w:r>
      <w:r>
        <w:rPr>
          <w:noProof/>
        </w:rPr>
        <w:t>6</w:t>
      </w:r>
      <w:r w:rsidRPr="00222881">
        <w:fldChar w:fldCharType="end"/>
      </w:r>
      <w:r w:rsidRPr="00222881">
        <w:t>).</w:t>
      </w:r>
    </w:p>
    <w:p w14:paraId="791F181D" w14:textId="77777777" w:rsidR="00022915" w:rsidRPr="00222881" w:rsidRDefault="00022915" w:rsidP="00022915">
      <w:r w:rsidRPr="00222881">
        <w:t>The cost-benefit analysis results are not particularly sensitive to this assumption.  A ten per cent increase in the number of containers leads to a small decrease in net present value from $128 million to $124 million, whereas the benefit-cost ratio remains relatively stable.  Conversely, a decrease in the container universe increases the net present value to $132 million.</w:t>
      </w:r>
    </w:p>
    <w:p w14:paraId="38ED1070" w14:textId="77777777" w:rsidR="00022915" w:rsidRPr="00222881" w:rsidRDefault="00022915" w:rsidP="00022915">
      <w:pPr>
        <w:pStyle w:val="Caption"/>
      </w:pPr>
      <w:bookmarkStart w:id="112" w:name="_Ref499721449"/>
      <w:bookmarkStart w:id="113" w:name="_Toc500154280"/>
      <w:bookmarkStart w:id="114" w:name="_Toc506552689"/>
      <w:bookmarkStart w:id="115" w:name="_Toc10031215"/>
      <w:r w:rsidRPr="00222881">
        <w:t xml:space="preserve">Table </w:t>
      </w:r>
      <w:r w:rsidR="00CF34D3">
        <w:rPr>
          <w:noProof/>
        </w:rPr>
        <w:fldChar w:fldCharType="begin"/>
      </w:r>
      <w:r w:rsidR="00CF34D3">
        <w:rPr>
          <w:noProof/>
        </w:rPr>
        <w:instrText xml:space="preserve"> SEQ Table \* ARABIC </w:instrText>
      </w:r>
      <w:r w:rsidR="00CF34D3">
        <w:rPr>
          <w:noProof/>
        </w:rPr>
        <w:fldChar w:fldCharType="separate"/>
      </w:r>
      <w:r>
        <w:rPr>
          <w:noProof/>
        </w:rPr>
        <w:t>6</w:t>
      </w:r>
      <w:r w:rsidR="00CF34D3">
        <w:rPr>
          <w:noProof/>
        </w:rPr>
        <w:fldChar w:fldCharType="end"/>
      </w:r>
      <w:bookmarkEnd w:id="112"/>
      <w:r w:rsidRPr="00222881">
        <w:t>: Number of containers sensitivity test</w:t>
      </w:r>
      <w:bookmarkEnd w:id="113"/>
      <w:bookmarkEnd w:id="114"/>
      <w:bookmarkEnd w:id="11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umber of containers sensitivity test"/>
        <w:tblDescription w:val="Results of the cost benefit analysis using different assumptions for the number of beverage containers used in Western Australia"/>
      </w:tblPr>
      <w:tblGrid>
        <w:gridCol w:w="4092"/>
        <w:gridCol w:w="2489"/>
        <w:gridCol w:w="2491"/>
      </w:tblGrid>
      <w:tr w:rsidR="00022915" w:rsidRPr="00222881" w14:paraId="1289B679" w14:textId="77777777" w:rsidTr="00C53AB1">
        <w:trPr>
          <w:tblHeader/>
        </w:trPr>
        <w:tc>
          <w:tcPr>
            <w:tcW w:w="4092" w:type="dxa"/>
            <w:shd w:val="clear" w:color="auto" w:fill="D9D9D9" w:themeFill="background1" w:themeFillShade="D9"/>
            <w:vAlign w:val="center"/>
          </w:tcPr>
          <w:p w14:paraId="799C74EC" w14:textId="77777777" w:rsidR="00022915" w:rsidRPr="00222881" w:rsidRDefault="00022915" w:rsidP="00C53AB1">
            <w:pPr>
              <w:pStyle w:val="Tableheading0"/>
            </w:pPr>
            <w:r w:rsidRPr="00222881">
              <w:t xml:space="preserve">Variable </w:t>
            </w:r>
            <w:r w:rsidRPr="00222881">
              <w:noBreakHyphen/>
              <w:t xml:space="preserve"> number of containers</w:t>
            </w:r>
          </w:p>
        </w:tc>
        <w:tc>
          <w:tcPr>
            <w:tcW w:w="2489" w:type="dxa"/>
            <w:shd w:val="clear" w:color="auto" w:fill="D9D9D9" w:themeFill="background1" w:themeFillShade="D9"/>
            <w:vAlign w:val="center"/>
          </w:tcPr>
          <w:p w14:paraId="023E7295" w14:textId="77777777" w:rsidR="00022915" w:rsidRPr="00222881" w:rsidRDefault="00022915" w:rsidP="00C53AB1">
            <w:pPr>
              <w:pStyle w:val="Tableheading0"/>
            </w:pPr>
            <w:r w:rsidRPr="00222881">
              <w:t xml:space="preserve">Net present value </w:t>
            </w:r>
            <w:r w:rsidRPr="00222881">
              <w:br/>
              <w:t>($ million)</w:t>
            </w:r>
          </w:p>
        </w:tc>
        <w:tc>
          <w:tcPr>
            <w:tcW w:w="2491" w:type="dxa"/>
            <w:shd w:val="clear" w:color="auto" w:fill="D9D9D9" w:themeFill="background1" w:themeFillShade="D9"/>
            <w:vAlign w:val="center"/>
          </w:tcPr>
          <w:p w14:paraId="30BE6086" w14:textId="77777777" w:rsidR="00022915" w:rsidRPr="00222881" w:rsidRDefault="00022915" w:rsidP="00C53AB1">
            <w:pPr>
              <w:pStyle w:val="Tableheading0"/>
            </w:pPr>
            <w:r w:rsidRPr="00222881">
              <w:t>Benefit-cost ratio</w:t>
            </w:r>
          </w:p>
        </w:tc>
      </w:tr>
      <w:tr w:rsidR="00022915" w:rsidRPr="00222881" w14:paraId="64E38D14" w14:textId="77777777" w:rsidTr="00C53AB1">
        <w:tc>
          <w:tcPr>
            <w:tcW w:w="4092" w:type="dxa"/>
            <w:shd w:val="clear" w:color="auto" w:fill="auto"/>
            <w:vAlign w:val="center"/>
          </w:tcPr>
          <w:p w14:paraId="4829F681" w14:textId="77777777" w:rsidR="00022915" w:rsidRPr="00222881" w:rsidRDefault="00022915" w:rsidP="00C53AB1">
            <w:pPr>
              <w:pStyle w:val="Tabletext0"/>
              <w:widowControl w:val="0"/>
              <w:spacing w:before="60"/>
              <w:rPr>
                <w:rFonts w:cs="Arial"/>
                <w:szCs w:val="20"/>
              </w:rPr>
            </w:pPr>
            <w:r w:rsidRPr="00222881">
              <w:rPr>
                <w:rFonts w:cs="Arial"/>
                <w:szCs w:val="20"/>
              </w:rPr>
              <w:t xml:space="preserve">1,812 million* </w:t>
            </w:r>
          </w:p>
        </w:tc>
        <w:tc>
          <w:tcPr>
            <w:tcW w:w="2489" w:type="dxa"/>
            <w:shd w:val="clear" w:color="auto" w:fill="auto"/>
            <w:vAlign w:val="center"/>
          </w:tcPr>
          <w:p w14:paraId="0CE295B2" w14:textId="77777777" w:rsidR="00022915" w:rsidRPr="00222881" w:rsidRDefault="00022915" w:rsidP="00C53AB1">
            <w:pPr>
              <w:pStyle w:val="Tabletext0"/>
              <w:widowControl w:val="0"/>
              <w:spacing w:before="60"/>
              <w:jc w:val="center"/>
              <w:rPr>
                <w:rFonts w:cs="Arial"/>
                <w:szCs w:val="20"/>
              </w:rPr>
            </w:pPr>
            <w:r w:rsidRPr="00222881">
              <w:rPr>
                <w:rFonts w:cs="Arial"/>
                <w:szCs w:val="20"/>
              </w:rPr>
              <w:t>128</w:t>
            </w:r>
          </w:p>
        </w:tc>
        <w:tc>
          <w:tcPr>
            <w:tcW w:w="2491" w:type="dxa"/>
            <w:shd w:val="clear" w:color="auto" w:fill="auto"/>
            <w:vAlign w:val="center"/>
          </w:tcPr>
          <w:p w14:paraId="6B95978B" w14:textId="77777777" w:rsidR="00022915" w:rsidRPr="00222881" w:rsidRDefault="00022915" w:rsidP="00C53AB1">
            <w:pPr>
              <w:pStyle w:val="Tabletext0"/>
              <w:widowControl w:val="0"/>
              <w:spacing w:before="60"/>
              <w:jc w:val="center"/>
              <w:rPr>
                <w:rFonts w:cs="Arial"/>
                <w:szCs w:val="20"/>
              </w:rPr>
            </w:pPr>
            <w:r w:rsidRPr="00222881">
              <w:rPr>
                <w:rFonts w:cs="Arial"/>
                <w:szCs w:val="20"/>
              </w:rPr>
              <w:t>1.29</w:t>
            </w:r>
          </w:p>
        </w:tc>
      </w:tr>
      <w:tr w:rsidR="00022915" w:rsidRPr="00222881" w14:paraId="3ECF6890" w14:textId="77777777" w:rsidTr="00C53AB1">
        <w:tc>
          <w:tcPr>
            <w:tcW w:w="4092" w:type="dxa"/>
            <w:shd w:val="clear" w:color="auto" w:fill="auto"/>
            <w:vAlign w:val="center"/>
          </w:tcPr>
          <w:p w14:paraId="08A83387" w14:textId="77777777" w:rsidR="00022915" w:rsidRPr="00222881" w:rsidRDefault="00022915" w:rsidP="00C53AB1">
            <w:pPr>
              <w:pStyle w:val="Tabletext0"/>
              <w:widowControl w:val="0"/>
              <w:spacing w:before="60"/>
              <w:rPr>
                <w:rFonts w:cs="Arial"/>
                <w:szCs w:val="20"/>
              </w:rPr>
            </w:pPr>
            <w:r w:rsidRPr="00222881">
              <w:rPr>
                <w:rFonts w:cs="Arial"/>
                <w:szCs w:val="20"/>
              </w:rPr>
              <w:t>+10% (sensitivity)</w:t>
            </w:r>
          </w:p>
        </w:tc>
        <w:tc>
          <w:tcPr>
            <w:tcW w:w="2489" w:type="dxa"/>
            <w:shd w:val="clear" w:color="auto" w:fill="auto"/>
            <w:vAlign w:val="center"/>
          </w:tcPr>
          <w:p w14:paraId="37CD6DCD" w14:textId="77777777" w:rsidR="00022915" w:rsidRPr="00222881" w:rsidRDefault="00022915" w:rsidP="00C53AB1">
            <w:pPr>
              <w:pStyle w:val="Tabletext0"/>
              <w:widowControl w:val="0"/>
              <w:spacing w:before="60"/>
              <w:jc w:val="center"/>
              <w:rPr>
                <w:rFonts w:cs="Arial"/>
                <w:szCs w:val="20"/>
              </w:rPr>
            </w:pPr>
            <w:r w:rsidRPr="00222881">
              <w:rPr>
                <w:rFonts w:cs="Arial"/>
                <w:szCs w:val="20"/>
              </w:rPr>
              <w:t>124</w:t>
            </w:r>
          </w:p>
        </w:tc>
        <w:tc>
          <w:tcPr>
            <w:tcW w:w="2491" w:type="dxa"/>
            <w:shd w:val="clear" w:color="auto" w:fill="auto"/>
            <w:vAlign w:val="center"/>
          </w:tcPr>
          <w:p w14:paraId="5EFA2E4F" w14:textId="77777777" w:rsidR="00022915" w:rsidRPr="00222881" w:rsidRDefault="00022915" w:rsidP="00C53AB1">
            <w:pPr>
              <w:pStyle w:val="Tabletext0"/>
              <w:widowControl w:val="0"/>
              <w:spacing w:before="60"/>
              <w:jc w:val="center"/>
              <w:rPr>
                <w:rFonts w:cs="Arial"/>
                <w:szCs w:val="20"/>
              </w:rPr>
            </w:pPr>
            <w:r w:rsidRPr="00222881">
              <w:rPr>
                <w:rFonts w:cs="Arial"/>
                <w:szCs w:val="20"/>
              </w:rPr>
              <w:t>1.27</w:t>
            </w:r>
          </w:p>
        </w:tc>
      </w:tr>
      <w:tr w:rsidR="00022915" w:rsidRPr="00222881" w14:paraId="131F4254" w14:textId="77777777" w:rsidTr="00C53AB1">
        <w:tc>
          <w:tcPr>
            <w:tcW w:w="4092" w:type="dxa"/>
            <w:shd w:val="clear" w:color="auto" w:fill="auto"/>
            <w:vAlign w:val="center"/>
          </w:tcPr>
          <w:p w14:paraId="35EB2A50" w14:textId="77777777" w:rsidR="00022915" w:rsidRPr="00222881" w:rsidRDefault="00022915" w:rsidP="00C53AB1">
            <w:pPr>
              <w:pStyle w:val="Tabletext0"/>
              <w:widowControl w:val="0"/>
              <w:spacing w:before="60"/>
              <w:rPr>
                <w:rFonts w:cs="Arial"/>
                <w:szCs w:val="20"/>
              </w:rPr>
            </w:pPr>
            <w:r w:rsidRPr="00222881">
              <w:rPr>
                <w:rFonts w:cs="Arial"/>
                <w:szCs w:val="20"/>
              </w:rPr>
              <w:t>–10% (sensitivity)</w:t>
            </w:r>
          </w:p>
        </w:tc>
        <w:tc>
          <w:tcPr>
            <w:tcW w:w="2489" w:type="dxa"/>
            <w:shd w:val="clear" w:color="auto" w:fill="auto"/>
            <w:vAlign w:val="center"/>
          </w:tcPr>
          <w:p w14:paraId="19C31C47" w14:textId="77777777" w:rsidR="00022915" w:rsidRPr="00222881" w:rsidRDefault="00022915" w:rsidP="00C53AB1">
            <w:pPr>
              <w:pStyle w:val="Tabletext0"/>
              <w:widowControl w:val="0"/>
              <w:spacing w:before="60"/>
              <w:jc w:val="center"/>
              <w:rPr>
                <w:rFonts w:cs="Arial"/>
                <w:szCs w:val="20"/>
              </w:rPr>
            </w:pPr>
            <w:r w:rsidRPr="00222881">
              <w:rPr>
                <w:rFonts w:cs="Arial"/>
                <w:szCs w:val="20"/>
              </w:rPr>
              <w:t>132</w:t>
            </w:r>
          </w:p>
        </w:tc>
        <w:tc>
          <w:tcPr>
            <w:tcW w:w="2491" w:type="dxa"/>
            <w:shd w:val="clear" w:color="auto" w:fill="auto"/>
            <w:vAlign w:val="center"/>
          </w:tcPr>
          <w:p w14:paraId="6D2081C5" w14:textId="77777777" w:rsidR="00022915" w:rsidRPr="00222881" w:rsidRDefault="00022915" w:rsidP="00C53AB1">
            <w:pPr>
              <w:pStyle w:val="Tabletext0"/>
              <w:widowControl w:val="0"/>
              <w:spacing w:before="60"/>
              <w:jc w:val="center"/>
              <w:rPr>
                <w:rFonts w:cs="Arial"/>
                <w:szCs w:val="20"/>
              </w:rPr>
            </w:pPr>
            <w:r w:rsidRPr="00222881">
              <w:rPr>
                <w:rFonts w:cs="Arial"/>
                <w:szCs w:val="20"/>
              </w:rPr>
              <w:t>1.31</w:t>
            </w:r>
          </w:p>
        </w:tc>
      </w:tr>
    </w:tbl>
    <w:p w14:paraId="31404963" w14:textId="77777777" w:rsidR="00022915" w:rsidRPr="00222881" w:rsidRDefault="00022915" w:rsidP="00022915">
      <w:pPr>
        <w:pStyle w:val="DWERSource"/>
      </w:pPr>
      <w:bookmarkStart w:id="116" w:name="_Ref501097259"/>
      <w:bookmarkStart w:id="117" w:name="_Toc506552655"/>
      <w:r w:rsidRPr="00222881">
        <w:t xml:space="preserve">* </w:t>
      </w:r>
      <w:r w:rsidRPr="00222881">
        <w:tab/>
        <w:t>Actual number used in model, rounded to 1,800 in text of this document.</w:t>
      </w:r>
    </w:p>
    <w:p w14:paraId="0A4C2FA3" w14:textId="77777777" w:rsidR="00022915" w:rsidRPr="00222881" w:rsidRDefault="00022915" w:rsidP="00022915">
      <w:pPr>
        <w:pStyle w:val="Heading3"/>
      </w:pPr>
      <w:r w:rsidRPr="00222881">
        <w:t>Alternative home and away consumption splits</w:t>
      </w:r>
      <w:bookmarkEnd w:id="116"/>
      <w:bookmarkEnd w:id="117"/>
    </w:p>
    <w:p w14:paraId="27CC3D6F" w14:textId="77777777" w:rsidR="00022915" w:rsidRPr="00222881" w:rsidRDefault="00022915" w:rsidP="00022915">
      <w:r w:rsidRPr="00222881">
        <w:t>The analysis assumes that 67 per cent of beverage containers are consumed at home and that the rest are consumed away from home.</w:t>
      </w:r>
      <w:r w:rsidRPr="00222881">
        <w:rPr>
          <w:rStyle w:val="FootnoteReference"/>
        </w:rPr>
        <w:footnoteReference w:id="40"/>
      </w:r>
      <w:r w:rsidRPr="00222881">
        <w:t xml:space="preserve">  Discussions with the advisory committee confirmed that there is considerable uncertainty about this split, so a range of sensitivity tests were performed (</w:t>
      </w:r>
      <w:r w:rsidRPr="00222881">
        <w:fldChar w:fldCharType="begin"/>
      </w:r>
      <w:r w:rsidRPr="00222881">
        <w:instrText xml:space="preserve"> REF _Ref499721499 \h  \* MERGEFORMAT </w:instrText>
      </w:r>
      <w:r w:rsidRPr="00222881">
        <w:fldChar w:fldCharType="separate"/>
      </w:r>
      <w:r w:rsidRPr="00222881">
        <w:t xml:space="preserve">Table </w:t>
      </w:r>
      <w:r>
        <w:rPr>
          <w:noProof/>
        </w:rPr>
        <w:t>7</w:t>
      </w:r>
      <w:r w:rsidRPr="00222881">
        <w:fldChar w:fldCharType="end"/>
      </w:r>
      <w:r w:rsidRPr="00222881">
        <w:t>).</w:t>
      </w:r>
    </w:p>
    <w:p w14:paraId="615D8E29" w14:textId="77777777" w:rsidR="00022915" w:rsidRPr="00222881" w:rsidRDefault="00022915" w:rsidP="00022915">
      <w:r w:rsidRPr="00222881">
        <w:t>Varying the consumption split does not change the number of containers recycled because the number of containers recycled is reasonably certain.  However, changing the consumption split does affect the propensity to litter and the number of containers redeemed in public place locations.</w:t>
      </w:r>
    </w:p>
    <w:p w14:paraId="5D2395A2" w14:textId="77777777" w:rsidR="00022915" w:rsidRPr="00222881" w:rsidRDefault="00022915" w:rsidP="00022915">
      <w:r w:rsidRPr="00222881">
        <w:t>The net present value result is somewhat sensitive to the consumption split.  For instance, shifting from a 70:30 to a 50:50 consumption split improves the net present value result by $29 million, from $128 million to $157 million.</w:t>
      </w:r>
    </w:p>
    <w:p w14:paraId="3930406B" w14:textId="77777777" w:rsidR="00022915" w:rsidRPr="00222881" w:rsidRDefault="00022915" w:rsidP="00022915">
      <w:pPr>
        <w:pStyle w:val="Caption"/>
      </w:pPr>
      <w:bookmarkStart w:id="118" w:name="_Ref499721499"/>
      <w:bookmarkStart w:id="119" w:name="_Toc500154281"/>
      <w:bookmarkStart w:id="120" w:name="_Toc506552690"/>
      <w:bookmarkStart w:id="121" w:name="_Toc10031216"/>
      <w:r w:rsidRPr="00222881">
        <w:t xml:space="preserve">Table </w:t>
      </w:r>
      <w:r w:rsidR="00CF34D3">
        <w:rPr>
          <w:noProof/>
        </w:rPr>
        <w:fldChar w:fldCharType="begin"/>
      </w:r>
      <w:r w:rsidR="00CF34D3">
        <w:rPr>
          <w:noProof/>
        </w:rPr>
        <w:instrText xml:space="preserve"> SEQ Table \* ARABIC </w:instrText>
      </w:r>
      <w:r w:rsidR="00CF34D3">
        <w:rPr>
          <w:noProof/>
        </w:rPr>
        <w:fldChar w:fldCharType="separate"/>
      </w:r>
      <w:r>
        <w:rPr>
          <w:noProof/>
        </w:rPr>
        <w:t>7</w:t>
      </w:r>
      <w:r w:rsidR="00CF34D3">
        <w:rPr>
          <w:noProof/>
        </w:rPr>
        <w:fldChar w:fldCharType="end"/>
      </w:r>
      <w:bookmarkEnd w:id="118"/>
      <w:r w:rsidRPr="00222881">
        <w:t>: Consumption split (At home: Away from home) sensitivity test</w:t>
      </w:r>
      <w:bookmarkEnd w:id="119"/>
      <w:bookmarkEnd w:id="120"/>
      <w:bookmarkEnd w:id="12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sumption split (At home: Away from home) sensitivity test"/>
        <w:tblDescription w:val="Results of the cost benefit analysis using different assumptions for the split of beverage consumption (at home compared to away from home)."/>
      </w:tblPr>
      <w:tblGrid>
        <w:gridCol w:w="4107"/>
        <w:gridCol w:w="2483"/>
        <w:gridCol w:w="2482"/>
      </w:tblGrid>
      <w:tr w:rsidR="00022915" w:rsidRPr="00222881" w14:paraId="7119D9EE" w14:textId="77777777" w:rsidTr="00C53AB1">
        <w:trPr>
          <w:tblHeader/>
        </w:trPr>
        <w:tc>
          <w:tcPr>
            <w:tcW w:w="4107" w:type="dxa"/>
            <w:shd w:val="clear" w:color="auto" w:fill="D9D9D9" w:themeFill="background1" w:themeFillShade="D9"/>
            <w:vAlign w:val="center"/>
          </w:tcPr>
          <w:p w14:paraId="0B24172D" w14:textId="77777777" w:rsidR="00022915" w:rsidRPr="00222881" w:rsidRDefault="00022915" w:rsidP="00C53AB1">
            <w:pPr>
              <w:pStyle w:val="Tableheading0"/>
            </w:pPr>
            <w:r w:rsidRPr="00222881">
              <w:t xml:space="preserve">Variable </w:t>
            </w:r>
            <w:r w:rsidRPr="00222881">
              <w:noBreakHyphen/>
              <w:t xml:space="preserve"> consumption split</w:t>
            </w:r>
          </w:p>
        </w:tc>
        <w:tc>
          <w:tcPr>
            <w:tcW w:w="2483" w:type="dxa"/>
            <w:shd w:val="clear" w:color="auto" w:fill="D9D9D9" w:themeFill="background1" w:themeFillShade="D9"/>
            <w:vAlign w:val="center"/>
          </w:tcPr>
          <w:p w14:paraId="0299C5B6" w14:textId="77777777" w:rsidR="00022915" w:rsidRPr="00222881" w:rsidRDefault="00022915" w:rsidP="00C53AB1">
            <w:pPr>
              <w:pStyle w:val="Tableheading0"/>
            </w:pPr>
            <w:r w:rsidRPr="00222881">
              <w:t>Net present value</w:t>
            </w:r>
            <w:r w:rsidRPr="00222881">
              <w:br/>
              <w:t>($ million)</w:t>
            </w:r>
          </w:p>
        </w:tc>
        <w:tc>
          <w:tcPr>
            <w:tcW w:w="2482" w:type="dxa"/>
            <w:shd w:val="clear" w:color="auto" w:fill="D9D9D9" w:themeFill="background1" w:themeFillShade="D9"/>
            <w:vAlign w:val="center"/>
          </w:tcPr>
          <w:p w14:paraId="6042789C" w14:textId="77777777" w:rsidR="00022915" w:rsidRPr="00222881" w:rsidRDefault="00022915" w:rsidP="00C53AB1">
            <w:pPr>
              <w:pStyle w:val="Tableheading0"/>
            </w:pPr>
            <w:r w:rsidRPr="00222881">
              <w:t>Benefit-cost ratio</w:t>
            </w:r>
          </w:p>
        </w:tc>
      </w:tr>
      <w:tr w:rsidR="00022915" w:rsidRPr="00222881" w14:paraId="38B35894" w14:textId="77777777" w:rsidTr="00C53AB1">
        <w:tc>
          <w:tcPr>
            <w:tcW w:w="4107" w:type="dxa"/>
            <w:shd w:val="clear" w:color="auto" w:fill="auto"/>
            <w:vAlign w:val="center"/>
          </w:tcPr>
          <w:p w14:paraId="07CA6777" w14:textId="77777777" w:rsidR="00022915" w:rsidRPr="00222881" w:rsidRDefault="00022915" w:rsidP="00C53AB1">
            <w:pPr>
              <w:pStyle w:val="Tabletext0"/>
              <w:keepNext/>
              <w:keepLines/>
              <w:widowControl w:val="0"/>
              <w:spacing w:before="60"/>
              <w:rPr>
                <w:rFonts w:cs="Arial"/>
                <w:szCs w:val="20"/>
              </w:rPr>
            </w:pPr>
            <w:r w:rsidRPr="00222881">
              <w:rPr>
                <w:rFonts w:cs="Arial"/>
                <w:szCs w:val="20"/>
              </w:rPr>
              <w:t>50:50 (sensitivity)</w:t>
            </w:r>
          </w:p>
        </w:tc>
        <w:tc>
          <w:tcPr>
            <w:tcW w:w="2483" w:type="dxa"/>
            <w:shd w:val="clear" w:color="auto" w:fill="auto"/>
            <w:vAlign w:val="center"/>
          </w:tcPr>
          <w:p w14:paraId="7AEFF833" w14:textId="77777777" w:rsidR="00022915" w:rsidRPr="00222881" w:rsidRDefault="00022915" w:rsidP="00C53AB1">
            <w:pPr>
              <w:pStyle w:val="Tabletext0"/>
              <w:keepNext/>
              <w:keepLines/>
              <w:widowControl w:val="0"/>
              <w:spacing w:before="60"/>
              <w:jc w:val="center"/>
              <w:rPr>
                <w:rFonts w:cs="Arial"/>
                <w:szCs w:val="20"/>
              </w:rPr>
            </w:pPr>
            <w:r w:rsidRPr="00222881">
              <w:rPr>
                <w:rFonts w:cs="Arial"/>
                <w:szCs w:val="20"/>
              </w:rPr>
              <w:t>157</w:t>
            </w:r>
          </w:p>
        </w:tc>
        <w:tc>
          <w:tcPr>
            <w:tcW w:w="2482" w:type="dxa"/>
            <w:shd w:val="clear" w:color="auto" w:fill="auto"/>
            <w:vAlign w:val="center"/>
          </w:tcPr>
          <w:p w14:paraId="6311B0AA" w14:textId="77777777" w:rsidR="00022915" w:rsidRPr="00222881" w:rsidRDefault="00022915" w:rsidP="00C53AB1">
            <w:pPr>
              <w:pStyle w:val="Tabletext0"/>
              <w:keepNext/>
              <w:keepLines/>
              <w:widowControl w:val="0"/>
              <w:spacing w:before="60"/>
              <w:jc w:val="center"/>
              <w:rPr>
                <w:rFonts w:cs="Arial"/>
                <w:szCs w:val="20"/>
              </w:rPr>
            </w:pPr>
            <w:r w:rsidRPr="00222881">
              <w:rPr>
                <w:rFonts w:cs="Arial"/>
                <w:szCs w:val="20"/>
              </w:rPr>
              <w:t>1.36</w:t>
            </w:r>
          </w:p>
        </w:tc>
      </w:tr>
      <w:tr w:rsidR="00022915" w:rsidRPr="00222881" w14:paraId="626C9CED" w14:textId="77777777" w:rsidTr="00C53AB1">
        <w:tc>
          <w:tcPr>
            <w:tcW w:w="4107" w:type="dxa"/>
            <w:shd w:val="clear" w:color="auto" w:fill="auto"/>
            <w:vAlign w:val="center"/>
          </w:tcPr>
          <w:p w14:paraId="5359F20B" w14:textId="77777777" w:rsidR="00022915" w:rsidRPr="00222881" w:rsidRDefault="00022915" w:rsidP="00C53AB1">
            <w:pPr>
              <w:pStyle w:val="Tabletext0"/>
              <w:keepNext/>
              <w:keepLines/>
              <w:widowControl w:val="0"/>
              <w:spacing w:before="60"/>
              <w:rPr>
                <w:rFonts w:cs="Arial"/>
                <w:szCs w:val="20"/>
              </w:rPr>
            </w:pPr>
            <w:r w:rsidRPr="00222881">
              <w:rPr>
                <w:rFonts w:cs="Arial"/>
                <w:szCs w:val="20"/>
              </w:rPr>
              <w:t>60:40 (sensitivity)</w:t>
            </w:r>
          </w:p>
        </w:tc>
        <w:tc>
          <w:tcPr>
            <w:tcW w:w="2483" w:type="dxa"/>
            <w:shd w:val="clear" w:color="auto" w:fill="auto"/>
            <w:vAlign w:val="center"/>
          </w:tcPr>
          <w:p w14:paraId="3CA76664" w14:textId="77777777" w:rsidR="00022915" w:rsidRPr="00222881" w:rsidRDefault="00022915" w:rsidP="00C53AB1">
            <w:pPr>
              <w:pStyle w:val="Tabletext0"/>
              <w:keepNext/>
              <w:keepLines/>
              <w:widowControl w:val="0"/>
              <w:spacing w:before="60"/>
              <w:jc w:val="center"/>
              <w:rPr>
                <w:rFonts w:cs="Arial"/>
                <w:szCs w:val="20"/>
              </w:rPr>
            </w:pPr>
            <w:r w:rsidRPr="00222881">
              <w:rPr>
                <w:rFonts w:cs="Arial"/>
                <w:szCs w:val="20"/>
              </w:rPr>
              <w:t>140</w:t>
            </w:r>
          </w:p>
        </w:tc>
        <w:tc>
          <w:tcPr>
            <w:tcW w:w="2482" w:type="dxa"/>
            <w:shd w:val="clear" w:color="auto" w:fill="auto"/>
            <w:vAlign w:val="center"/>
          </w:tcPr>
          <w:p w14:paraId="7D0FCE5C" w14:textId="77777777" w:rsidR="00022915" w:rsidRPr="00222881" w:rsidRDefault="00022915" w:rsidP="00C53AB1">
            <w:pPr>
              <w:pStyle w:val="Tabletext0"/>
              <w:keepNext/>
              <w:keepLines/>
              <w:widowControl w:val="0"/>
              <w:spacing w:before="60"/>
              <w:jc w:val="center"/>
              <w:rPr>
                <w:rFonts w:cs="Arial"/>
                <w:szCs w:val="20"/>
              </w:rPr>
            </w:pPr>
            <w:r w:rsidRPr="00222881">
              <w:rPr>
                <w:rFonts w:cs="Arial"/>
                <w:szCs w:val="20"/>
              </w:rPr>
              <w:t>1.32</w:t>
            </w:r>
          </w:p>
        </w:tc>
      </w:tr>
      <w:tr w:rsidR="00022915" w:rsidRPr="00222881" w14:paraId="07EFC6FD" w14:textId="77777777" w:rsidTr="00C53AB1">
        <w:tc>
          <w:tcPr>
            <w:tcW w:w="4107" w:type="dxa"/>
            <w:shd w:val="clear" w:color="auto" w:fill="auto"/>
            <w:vAlign w:val="center"/>
          </w:tcPr>
          <w:p w14:paraId="7BCD1386" w14:textId="77777777" w:rsidR="00022915" w:rsidRPr="00222881" w:rsidRDefault="00022915" w:rsidP="00C53AB1">
            <w:pPr>
              <w:pStyle w:val="Tabletext0"/>
              <w:keepNext/>
              <w:keepLines/>
              <w:widowControl w:val="0"/>
              <w:spacing w:before="60"/>
              <w:rPr>
                <w:rFonts w:cs="Arial"/>
                <w:szCs w:val="20"/>
              </w:rPr>
            </w:pPr>
            <w:r w:rsidRPr="00222881">
              <w:rPr>
                <w:rFonts w:cs="Arial"/>
                <w:szCs w:val="20"/>
              </w:rPr>
              <w:t>70:30 (central estimate)</w:t>
            </w:r>
          </w:p>
        </w:tc>
        <w:tc>
          <w:tcPr>
            <w:tcW w:w="2483" w:type="dxa"/>
            <w:shd w:val="clear" w:color="auto" w:fill="auto"/>
            <w:vAlign w:val="center"/>
          </w:tcPr>
          <w:p w14:paraId="0572FD4F" w14:textId="77777777" w:rsidR="00022915" w:rsidRPr="00222881" w:rsidRDefault="00022915" w:rsidP="00C53AB1">
            <w:pPr>
              <w:pStyle w:val="Tabletext0"/>
              <w:keepNext/>
              <w:keepLines/>
              <w:widowControl w:val="0"/>
              <w:spacing w:before="60"/>
              <w:jc w:val="center"/>
              <w:rPr>
                <w:rFonts w:cs="Arial"/>
                <w:szCs w:val="20"/>
              </w:rPr>
            </w:pPr>
            <w:r w:rsidRPr="00222881">
              <w:rPr>
                <w:rFonts w:cs="Arial"/>
                <w:szCs w:val="20"/>
              </w:rPr>
              <w:t>128</w:t>
            </w:r>
          </w:p>
        </w:tc>
        <w:tc>
          <w:tcPr>
            <w:tcW w:w="2482" w:type="dxa"/>
            <w:shd w:val="clear" w:color="auto" w:fill="auto"/>
            <w:vAlign w:val="center"/>
          </w:tcPr>
          <w:p w14:paraId="276C7C78" w14:textId="77777777" w:rsidR="00022915" w:rsidRPr="00222881" w:rsidRDefault="00022915" w:rsidP="00C53AB1">
            <w:pPr>
              <w:pStyle w:val="Tabletext0"/>
              <w:keepNext/>
              <w:keepLines/>
              <w:widowControl w:val="0"/>
              <w:spacing w:before="60"/>
              <w:jc w:val="center"/>
              <w:rPr>
                <w:rFonts w:cs="Arial"/>
                <w:szCs w:val="20"/>
              </w:rPr>
            </w:pPr>
            <w:r w:rsidRPr="00222881">
              <w:rPr>
                <w:rFonts w:cs="Arial"/>
                <w:szCs w:val="20"/>
              </w:rPr>
              <w:t>1.29</w:t>
            </w:r>
          </w:p>
        </w:tc>
      </w:tr>
      <w:tr w:rsidR="00022915" w:rsidRPr="00222881" w14:paraId="48760A23" w14:textId="77777777" w:rsidTr="00C53AB1">
        <w:tc>
          <w:tcPr>
            <w:tcW w:w="4107" w:type="dxa"/>
            <w:shd w:val="clear" w:color="auto" w:fill="auto"/>
            <w:vAlign w:val="center"/>
          </w:tcPr>
          <w:p w14:paraId="14B17EA7" w14:textId="77777777" w:rsidR="00022915" w:rsidRPr="00222881" w:rsidRDefault="00022915" w:rsidP="00C53AB1">
            <w:pPr>
              <w:pStyle w:val="Tabletext0"/>
              <w:widowControl w:val="0"/>
              <w:spacing w:before="60"/>
              <w:rPr>
                <w:rFonts w:cs="Arial"/>
                <w:szCs w:val="20"/>
              </w:rPr>
            </w:pPr>
            <w:r w:rsidRPr="00222881">
              <w:rPr>
                <w:rFonts w:cs="Arial"/>
                <w:szCs w:val="20"/>
              </w:rPr>
              <w:t>80:20 (sensitivity)</w:t>
            </w:r>
          </w:p>
        </w:tc>
        <w:tc>
          <w:tcPr>
            <w:tcW w:w="2483" w:type="dxa"/>
            <w:shd w:val="clear" w:color="auto" w:fill="auto"/>
            <w:vAlign w:val="center"/>
          </w:tcPr>
          <w:p w14:paraId="78547C9E" w14:textId="77777777" w:rsidR="00022915" w:rsidRPr="00222881" w:rsidRDefault="00022915" w:rsidP="00C53AB1">
            <w:pPr>
              <w:pStyle w:val="Tabletext0"/>
              <w:widowControl w:val="0"/>
              <w:spacing w:before="60"/>
              <w:jc w:val="center"/>
              <w:rPr>
                <w:rFonts w:cs="Arial"/>
                <w:szCs w:val="20"/>
              </w:rPr>
            </w:pPr>
            <w:r w:rsidRPr="00222881">
              <w:rPr>
                <w:rFonts w:cs="Arial"/>
                <w:szCs w:val="20"/>
              </w:rPr>
              <w:t>116</w:t>
            </w:r>
          </w:p>
        </w:tc>
        <w:tc>
          <w:tcPr>
            <w:tcW w:w="2482" w:type="dxa"/>
            <w:shd w:val="clear" w:color="auto" w:fill="auto"/>
            <w:vAlign w:val="center"/>
          </w:tcPr>
          <w:p w14:paraId="5C3DC331" w14:textId="77777777" w:rsidR="00022915" w:rsidRPr="00222881" w:rsidRDefault="00022915" w:rsidP="00C53AB1">
            <w:pPr>
              <w:pStyle w:val="Tabletext0"/>
              <w:widowControl w:val="0"/>
              <w:spacing w:before="60"/>
              <w:jc w:val="center"/>
              <w:rPr>
                <w:rFonts w:cs="Arial"/>
                <w:szCs w:val="20"/>
              </w:rPr>
            </w:pPr>
            <w:r w:rsidRPr="00222881">
              <w:rPr>
                <w:rFonts w:cs="Arial"/>
                <w:szCs w:val="20"/>
              </w:rPr>
              <w:t>1.27</w:t>
            </w:r>
          </w:p>
        </w:tc>
      </w:tr>
    </w:tbl>
    <w:p w14:paraId="736FCAA9" w14:textId="77777777" w:rsidR="00022915" w:rsidRPr="00222881" w:rsidRDefault="00022915" w:rsidP="00022915">
      <w:pPr>
        <w:pStyle w:val="Heading3"/>
      </w:pPr>
      <w:bookmarkStart w:id="122" w:name="_Toc506552656"/>
      <w:r w:rsidRPr="00222881">
        <w:t>Kerbside diversion rate</w:t>
      </w:r>
      <w:bookmarkEnd w:id="122"/>
    </w:p>
    <w:p w14:paraId="22BEAF74" w14:textId="77777777" w:rsidR="00022915" w:rsidRPr="00222881" w:rsidRDefault="00022915" w:rsidP="00022915">
      <w:r w:rsidRPr="00222881">
        <w:t xml:space="preserve">The volume of containers diverted from the kerbside depends largely on the scheme design and accompanying advertising and education campaigns. Therefore, there is some uncertainty about the kerbside diversion rate. </w:t>
      </w:r>
    </w:p>
    <w:p w14:paraId="085DCAF0" w14:textId="77777777" w:rsidR="00022915" w:rsidRPr="00222881" w:rsidRDefault="00022915" w:rsidP="00022915">
      <w:r w:rsidRPr="00222881">
        <w:t>The analysis assumes that kerbside diversion increases over the first ten years of the scheme, peaking at 40 per cent. Sensitivity testing examined the impact of 30 per cent and 50 per cent diversion peaks (</w:t>
      </w:r>
      <w:r w:rsidRPr="00222881">
        <w:fldChar w:fldCharType="begin"/>
      </w:r>
      <w:r w:rsidRPr="00222881">
        <w:instrText xml:space="preserve"> REF _Ref506554185 \h </w:instrText>
      </w:r>
      <w:r>
        <w:instrText xml:space="preserve"> \* MERGEFORMAT </w:instrText>
      </w:r>
      <w:r w:rsidRPr="00222881">
        <w:fldChar w:fldCharType="separate"/>
      </w:r>
      <w:r w:rsidRPr="00222881">
        <w:t xml:space="preserve">Table </w:t>
      </w:r>
      <w:r>
        <w:rPr>
          <w:noProof/>
        </w:rPr>
        <w:t>8</w:t>
      </w:r>
      <w:r w:rsidRPr="00222881">
        <w:fldChar w:fldCharType="end"/>
      </w:r>
      <w:r w:rsidRPr="00222881">
        <w:t>).</w:t>
      </w:r>
    </w:p>
    <w:p w14:paraId="113F0BD8" w14:textId="77777777" w:rsidR="00022915" w:rsidRPr="00222881" w:rsidRDefault="00022915" w:rsidP="00022915">
      <w:r w:rsidRPr="00222881">
        <w:t>The result is not particularly sensitive to this assumption, largely due to the fixed costs associated with container refund points. Reducing the assumed diversion rate from kerbside recycling to 30 per cent improves the net present value by slightly over five per cent.</w:t>
      </w:r>
    </w:p>
    <w:p w14:paraId="3AB608DA" w14:textId="77777777" w:rsidR="00022915" w:rsidRPr="00222881" w:rsidRDefault="00022915" w:rsidP="00022915">
      <w:pPr>
        <w:pStyle w:val="Caption"/>
      </w:pPr>
      <w:bookmarkStart w:id="123" w:name="_Ref506554185"/>
      <w:bookmarkStart w:id="124" w:name="_Toc500154282"/>
      <w:bookmarkStart w:id="125" w:name="_Toc506552691"/>
      <w:bookmarkStart w:id="126" w:name="_Toc10031217"/>
      <w:r w:rsidRPr="00222881">
        <w:t xml:space="preserve">Table </w:t>
      </w:r>
      <w:r w:rsidR="00CF34D3">
        <w:rPr>
          <w:noProof/>
        </w:rPr>
        <w:fldChar w:fldCharType="begin"/>
      </w:r>
      <w:r w:rsidR="00CF34D3">
        <w:rPr>
          <w:noProof/>
        </w:rPr>
        <w:instrText xml:space="preserve"> SEQ Table \* ARABIC </w:instrText>
      </w:r>
      <w:r w:rsidR="00CF34D3">
        <w:rPr>
          <w:noProof/>
        </w:rPr>
        <w:fldChar w:fldCharType="separate"/>
      </w:r>
      <w:r>
        <w:rPr>
          <w:noProof/>
        </w:rPr>
        <w:t>8</w:t>
      </w:r>
      <w:r w:rsidR="00CF34D3">
        <w:rPr>
          <w:noProof/>
        </w:rPr>
        <w:fldChar w:fldCharType="end"/>
      </w:r>
      <w:bookmarkEnd w:id="123"/>
      <w:r w:rsidRPr="00222881">
        <w:t>: Kerbside diversion rate sensitivity test</w:t>
      </w:r>
      <w:bookmarkEnd w:id="124"/>
      <w:bookmarkEnd w:id="125"/>
      <w:bookmarkEnd w:id="12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erbside diversion rate sensitivity test"/>
        <w:tblDescription w:val="Results of the cost benefit analysis using different assumptions for the diversion of beverage containers away from kerbside recycling."/>
      </w:tblPr>
      <w:tblGrid>
        <w:gridCol w:w="4092"/>
        <w:gridCol w:w="2489"/>
        <w:gridCol w:w="2491"/>
      </w:tblGrid>
      <w:tr w:rsidR="00022915" w:rsidRPr="00222881" w14:paraId="4B318649" w14:textId="77777777" w:rsidTr="00C53AB1">
        <w:trPr>
          <w:tblHeader/>
        </w:trPr>
        <w:tc>
          <w:tcPr>
            <w:tcW w:w="4092" w:type="dxa"/>
            <w:shd w:val="clear" w:color="auto" w:fill="D9D9D9" w:themeFill="background1" w:themeFillShade="D9"/>
            <w:vAlign w:val="center"/>
          </w:tcPr>
          <w:p w14:paraId="747E738D" w14:textId="77777777" w:rsidR="00022915" w:rsidRPr="00222881" w:rsidRDefault="00022915" w:rsidP="00C53AB1">
            <w:pPr>
              <w:pStyle w:val="Tableheading0"/>
            </w:pPr>
            <w:r w:rsidRPr="00222881">
              <w:t xml:space="preserve">Variable </w:t>
            </w:r>
            <w:r w:rsidRPr="00222881">
              <w:noBreakHyphen/>
              <w:t xml:space="preserve"> kerbside diversion</w:t>
            </w:r>
          </w:p>
        </w:tc>
        <w:tc>
          <w:tcPr>
            <w:tcW w:w="2489" w:type="dxa"/>
            <w:shd w:val="clear" w:color="auto" w:fill="D9D9D9" w:themeFill="background1" w:themeFillShade="D9"/>
            <w:vAlign w:val="center"/>
          </w:tcPr>
          <w:p w14:paraId="3223D8B1" w14:textId="77777777" w:rsidR="00022915" w:rsidRPr="00222881" w:rsidRDefault="00022915" w:rsidP="00C53AB1">
            <w:pPr>
              <w:pStyle w:val="Tableheading0"/>
            </w:pPr>
            <w:r w:rsidRPr="00222881">
              <w:t>Net present value (NPV; $ million)</w:t>
            </w:r>
          </w:p>
        </w:tc>
        <w:tc>
          <w:tcPr>
            <w:tcW w:w="2491" w:type="dxa"/>
            <w:shd w:val="clear" w:color="auto" w:fill="D9D9D9" w:themeFill="background1" w:themeFillShade="D9"/>
            <w:vAlign w:val="center"/>
          </w:tcPr>
          <w:p w14:paraId="243CCA81" w14:textId="77777777" w:rsidR="00022915" w:rsidRPr="00222881" w:rsidRDefault="00022915" w:rsidP="00C53AB1">
            <w:pPr>
              <w:pStyle w:val="Tableheading0"/>
            </w:pPr>
            <w:r w:rsidRPr="00222881">
              <w:t>Benefit-cost ratio</w:t>
            </w:r>
          </w:p>
        </w:tc>
      </w:tr>
      <w:tr w:rsidR="00022915" w:rsidRPr="00222881" w14:paraId="2C2EED5D" w14:textId="77777777" w:rsidTr="00C53AB1">
        <w:tc>
          <w:tcPr>
            <w:tcW w:w="4092" w:type="dxa"/>
            <w:shd w:val="clear" w:color="auto" w:fill="auto"/>
            <w:vAlign w:val="center"/>
          </w:tcPr>
          <w:p w14:paraId="45F98D0A" w14:textId="77777777" w:rsidR="00022915" w:rsidRPr="00222881" w:rsidRDefault="00022915" w:rsidP="00C53AB1">
            <w:pPr>
              <w:pStyle w:val="Tabletext0"/>
              <w:widowControl w:val="0"/>
              <w:spacing w:before="60"/>
              <w:rPr>
                <w:rFonts w:cs="Arial"/>
                <w:szCs w:val="20"/>
              </w:rPr>
            </w:pPr>
            <w:r w:rsidRPr="00222881">
              <w:rPr>
                <w:rFonts w:cs="Arial"/>
                <w:szCs w:val="20"/>
              </w:rPr>
              <w:t>Maximum 40% (central estimate)</w:t>
            </w:r>
          </w:p>
        </w:tc>
        <w:tc>
          <w:tcPr>
            <w:tcW w:w="2489" w:type="dxa"/>
            <w:shd w:val="clear" w:color="auto" w:fill="auto"/>
            <w:vAlign w:val="center"/>
          </w:tcPr>
          <w:p w14:paraId="11A48F67" w14:textId="77777777" w:rsidR="00022915" w:rsidRPr="00222881" w:rsidRDefault="00022915" w:rsidP="00C53AB1">
            <w:pPr>
              <w:pStyle w:val="Tabletext0"/>
              <w:widowControl w:val="0"/>
              <w:spacing w:before="60"/>
              <w:jc w:val="center"/>
              <w:rPr>
                <w:rFonts w:cs="Arial"/>
                <w:szCs w:val="20"/>
              </w:rPr>
            </w:pPr>
            <w:r w:rsidRPr="00222881">
              <w:rPr>
                <w:rFonts w:cs="Arial"/>
                <w:szCs w:val="20"/>
              </w:rPr>
              <w:t>128</w:t>
            </w:r>
          </w:p>
        </w:tc>
        <w:tc>
          <w:tcPr>
            <w:tcW w:w="2491" w:type="dxa"/>
            <w:shd w:val="clear" w:color="auto" w:fill="auto"/>
            <w:vAlign w:val="center"/>
          </w:tcPr>
          <w:p w14:paraId="711E22EE" w14:textId="77777777" w:rsidR="00022915" w:rsidRPr="00222881" w:rsidRDefault="00022915" w:rsidP="00C53AB1">
            <w:pPr>
              <w:pStyle w:val="Tabletext0"/>
              <w:widowControl w:val="0"/>
              <w:spacing w:before="60"/>
              <w:jc w:val="center"/>
              <w:rPr>
                <w:rFonts w:cs="Arial"/>
                <w:szCs w:val="20"/>
              </w:rPr>
            </w:pPr>
            <w:r w:rsidRPr="00222881">
              <w:rPr>
                <w:rFonts w:cs="Arial"/>
                <w:szCs w:val="20"/>
              </w:rPr>
              <w:t>1.29</w:t>
            </w:r>
          </w:p>
        </w:tc>
      </w:tr>
      <w:tr w:rsidR="00022915" w:rsidRPr="00222881" w14:paraId="6A71DFBA" w14:textId="77777777" w:rsidTr="00C53AB1">
        <w:tc>
          <w:tcPr>
            <w:tcW w:w="4092" w:type="dxa"/>
            <w:shd w:val="clear" w:color="auto" w:fill="auto"/>
            <w:vAlign w:val="center"/>
          </w:tcPr>
          <w:p w14:paraId="1F54C7A7" w14:textId="77777777" w:rsidR="00022915" w:rsidRPr="00222881" w:rsidRDefault="00022915" w:rsidP="00C53AB1">
            <w:pPr>
              <w:pStyle w:val="Tabletext0"/>
              <w:widowControl w:val="0"/>
              <w:spacing w:before="60"/>
              <w:rPr>
                <w:rFonts w:cs="Arial"/>
                <w:szCs w:val="20"/>
              </w:rPr>
            </w:pPr>
            <w:r w:rsidRPr="00222881">
              <w:rPr>
                <w:rFonts w:cs="Arial"/>
                <w:szCs w:val="20"/>
              </w:rPr>
              <w:t>Maximum 30% (sensitivity)</w:t>
            </w:r>
          </w:p>
        </w:tc>
        <w:tc>
          <w:tcPr>
            <w:tcW w:w="2489" w:type="dxa"/>
            <w:shd w:val="clear" w:color="auto" w:fill="auto"/>
            <w:vAlign w:val="center"/>
          </w:tcPr>
          <w:p w14:paraId="127C145B" w14:textId="77777777" w:rsidR="00022915" w:rsidRPr="00222881" w:rsidRDefault="00022915" w:rsidP="00C53AB1">
            <w:pPr>
              <w:pStyle w:val="Tabletext0"/>
              <w:widowControl w:val="0"/>
              <w:spacing w:before="60"/>
              <w:jc w:val="center"/>
              <w:rPr>
                <w:rFonts w:cs="Arial"/>
                <w:szCs w:val="20"/>
              </w:rPr>
            </w:pPr>
            <w:r w:rsidRPr="00222881">
              <w:rPr>
                <w:rFonts w:cs="Arial"/>
                <w:szCs w:val="20"/>
              </w:rPr>
              <w:t>135</w:t>
            </w:r>
          </w:p>
        </w:tc>
        <w:tc>
          <w:tcPr>
            <w:tcW w:w="2491" w:type="dxa"/>
            <w:shd w:val="clear" w:color="auto" w:fill="auto"/>
            <w:vAlign w:val="center"/>
          </w:tcPr>
          <w:p w14:paraId="3D25B3DC" w14:textId="77777777" w:rsidR="00022915" w:rsidRPr="00222881" w:rsidRDefault="00022915" w:rsidP="00C53AB1">
            <w:pPr>
              <w:pStyle w:val="Tabletext0"/>
              <w:widowControl w:val="0"/>
              <w:spacing w:before="60"/>
              <w:jc w:val="center"/>
              <w:rPr>
                <w:rFonts w:cs="Arial"/>
                <w:szCs w:val="20"/>
              </w:rPr>
            </w:pPr>
            <w:r w:rsidRPr="00222881">
              <w:rPr>
                <w:rFonts w:cs="Arial"/>
                <w:szCs w:val="20"/>
              </w:rPr>
              <w:t>1.33</w:t>
            </w:r>
          </w:p>
        </w:tc>
      </w:tr>
      <w:tr w:rsidR="00022915" w:rsidRPr="00222881" w14:paraId="7FCAF836" w14:textId="77777777" w:rsidTr="00C53AB1">
        <w:tc>
          <w:tcPr>
            <w:tcW w:w="4092" w:type="dxa"/>
            <w:shd w:val="clear" w:color="auto" w:fill="auto"/>
            <w:vAlign w:val="center"/>
          </w:tcPr>
          <w:p w14:paraId="2DA0D67C" w14:textId="77777777" w:rsidR="00022915" w:rsidRPr="00222881" w:rsidRDefault="00022915" w:rsidP="00C53AB1">
            <w:pPr>
              <w:pStyle w:val="Tabletext0"/>
              <w:widowControl w:val="0"/>
              <w:spacing w:before="60"/>
              <w:rPr>
                <w:rFonts w:cs="Arial"/>
                <w:szCs w:val="20"/>
              </w:rPr>
            </w:pPr>
            <w:r w:rsidRPr="00222881">
              <w:rPr>
                <w:rFonts w:cs="Arial"/>
                <w:szCs w:val="20"/>
              </w:rPr>
              <w:t>Maximum 50% (sensitivity)</w:t>
            </w:r>
          </w:p>
        </w:tc>
        <w:tc>
          <w:tcPr>
            <w:tcW w:w="2489" w:type="dxa"/>
            <w:shd w:val="clear" w:color="auto" w:fill="auto"/>
            <w:vAlign w:val="center"/>
          </w:tcPr>
          <w:p w14:paraId="0E512CD0" w14:textId="77777777" w:rsidR="00022915" w:rsidRPr="00222881" w:rsidRDefault="00022915" w:rsidP="00C53AB1">
            <w:pPr>
              <w:pStyle w:val="Tabletext0"/>
              <w:widowControl w:val="0"/>
              <w:spacing w:before="60"/>
              <w:jc w:val="center"/>
              <w:rPr>
                <w:rFonts w:cs="Arial"/>
                <w:szCs w:val="20"/>
              </w:rPr>
            </w:pPr>
            <w:r w:rsidRPr="00222881">
              <w:rPr>
                <w:rFonts w:cs="Arial"/>
                <w:szCs w:val="20"/>
              </w:rPr>
              <w:t>121</w:t>
            </w:r>
          </w:p>
        </w:tc>
        <w:tc>
          <w:tcPr>
            <w:tcW w:w="2491" w:type="dxa"/>
            <w:shd w:val="clear" w:color="auto" w:fill="auto"/>
            <w:vAlign w:val="center"/>
          </w:tcPr>
          <w:p w14:paraId="5B30F244" w14:textId="77777777" w:rsidR="00022915" w:rsidRPr="00222881" w:rsidRDefault="00022915" w:rsidP="00C53AB1">
            <w:pPr>
              <w:pStyle w:val="Tabletext0"/>
              <w:widowControl w:val="0"/>
              <w:spacing w:before="60"/>
              <w:jc w:val="center"/>
              <w:rPr>
                <w:rFonts w:cs="Arial"/>
                <w:szCs w:val="20"/>
              </w:rPr>
            </w:pPr>
            <w:r w:rsidRPr="00222881">
              <w:rPr>
                <w:rFonts w:cs="Arial"/>
                <w:szCs w:val="20"/>
              </w:rPr>
              <w:t>1.26</w:t>
            </w:r>
          </w:p>
        </w:tc>
      </w:tr>
    </w:tbl>
    <w:p w14:paraId="28A123D5" w14:textId="77777777" w:rsidR="00022915" w:rsidRPr="00222881" w:rsidRDefault="00022915" w:rsidP="00022915">
      <w:pPr>
        <w:pStyle w:val="Heading3"/>
      </w:pPr>
      <w:bookmarkStart w:id="127" w:name="_Toc506552657"/>
      <w:r w:rsidRPr="00222881">
        <w:t>Recyclate value</w:t>
      </w:r>
      <w:bookmarkEnd w:id="127"/>
    </w:p>
    <w:p w14:paraId="48E871BA" w14:textId="77777777" w:rsidR="00022915" w:rsidRPr="00222881" w:rsidRDefault="00022915" w:rsidP="00022915">
      <w:r w:rsidRPr="00222881">
        <w:t xml:space="preserve">The sale price of recyclates is a key input variable for the cost-benefit analysis.  Two alternative price scenarios were identified for the different material types as set out in </w:t>
      </w:r>
      <w:r w:rsidRPr="00222881">
        <w:fldChar w:fldCharType="begin"/>
      </w:r>
      <w:r w:rsidRPr="00222881">
        <w:instrText xml:space="preserve"> REF _Ref506494904 \h  \* MERGEFORMAT </w:instrText>
      </w:r>
      <w:r w:rsidRPr="00222881">
        <w:fldChar w:fldCharType="separate"/>
      </w:r>
      <w:r w:rsidRPr="00222881">
        <w:t xml:space="preserve">Table </w:t>
      </w:r>
      <w:r>
        <w:rPr>
          <w:noProof/>
        </w:rPr>
        <w:t>9</w:t>
      </w:r>
      <w:r w:rsidRPr="00222881">
        <w:fldChar w:fldCharType="end"/>
      </w:r>
      <w:r w:rsidRPr="00222881">
        <w:t xml:space="preserve">.  </w:t>
      </w:r>
    </w:p>
    <w:p w14:paraId="185FD420" w14:textId="77777777" w:rsidR="00022915" w:rsidRPr="00222881" w:rsidRDefault="00022915" w:rsidP="00022915">
      <w:r w:rsidRPr="00222881">
        <w:t>To ensure that the primary cost-benefit analysis result is conservative, a low average value of recyclates is used as a central estimate.  The recyclate value of each component is discussed in the following sections.</w:t>
      </w:r>
    </w:p>
    <w:p w14:paraId="2F598427" w14:textId="77777777" w:rsidR="00022915" w:rsidRPr="00222881" w:rsidRDefault="00022915" w:rsidP="00022915">
      <w:r w:rsidRPr="00222881">
        <w:t>It is important to understand that the cost-benefit analysis is a long-term assessment, therefore, long term trends should be considered rather than short term changes.</w:t>
      </w:r>
    </w:p>
    <w:p w14:paraId="182F8C4F" w14:textId="77777777" w:rsidR="00022915" w:rsidRPr="00222881" w:rsidRDefault="00022915" w:rsidP="00022915">
      <w:pPr>
        <w:pStyle w:val="Caption"/>
      </w:pPr>
      <w:bookmarkStart w:id="128" w:name="_Ref506494904"/>
      <w:bookmarkStart w:id="129" w:name="_Toc506552692"/>
      <w:bookmarkStart w:id="130" w:name="_Toc10031218"/>
      <w:r w:rsidRPr="00222881">
        <w:t xml:space="preserve">Table </w:t>
      </w:r>
      <w:r w:rsidR="00CF34D3">
        <w:rPr>
          <w:noProof/>
        </w:rPr>
        <w:fldChar w:fldCharType="begin"/>
      </w:r>
      <w:r w:rsidR="00CF34D3">
        <w:rPr>
          <w:noProof/>
        </w:rPr>
        <w:instrText xml:space="preserve"> SEQ Table \* ARABIC </w:instrText>
      </w:r>
      <w:r w:rsidR="00CF34D3">
        <w:rPr>
          <w:noProof/>
        </w:rPr>
        <w:fldChar w:fldCharType="separate"/>
      </w:r>
      <w:r>
        <w:rPr>
          <w:noProof/>
        </w:rPr>
        <w:t>9</w:t>
      </w:r>
      <w:r w:rsidR="00CF34D3">
        <w:rPr>
          <w:noProof/>
        </w:rPr>
        <w:fldChar w:fldCharType="end"/>
      </w:r>
      <w:bookmarkEnd w:id="128"/>
      <w:r w:rsidRPr="00222881">
        <w:t>: Recyclate value</w:t>
      </w:r>
      <w:bookmarkEnd w:id="129"/>
      <w:bookmarkEnd w:id="13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cyclate value"/>
        <w:tblDescription w:val="Assumed value of recyclates used in the cost benefit analysis and the premium assumed for materials collected through the CDS (due to the lower levels of contamination)."/>
      </w:tblPr>
      <w:tblGrid>
        <w:gridCol w:w="2085"/>
        <w:gridCol w:w="2329"/>
        <w:gridCol w:w="2329"/>
        <w:gridCol w:w="2329"/>
      </w:tblGrid>
      <w:tr w:rsidR="00022915" w:rsidRPr="00222881" w14:paraId="72474BBA" w14:textId="77777777" w:rsidTr="00C53AB1">
        <w:trPr>
          <w:trHeight w:val="255"/>
        </w:trPr>
        <w:tc>
          <w:tcPr>
            <w:tcW w:w="2085" w:type="dxa"/>
            <w:vMerge w:val="restart"/>
            <w:shd w:val="clear" w:color="auto" w:fill="D9D9D9" w:themeFill="background1" w:themeFillShade="D9"/>
            <w:noWrap/>
            <w:hideMark/>
          </w:tcPr>
          <w:p w14:paraId="732678C1" w14:textId="77777777" w:rsidR="00022915" w:rsidRPr="00222881" w:rsidRDefault="00022915" w:rsidP="00C53AB1">
            <w:pPr>
              <w:jc w:val="center"/>
              <w:rPr>
                <w:rFonts w:cs="Arial"/>
                <w:b/>
                <w:sz w:val="20"/>
                <w:szCs w:val="20"/>
                <w:lang w:eastAsia="en-AU"/>
              </w:rPr>
            </w:pPr>
            <w:r w:rsidRPr="00222881">
              <w:rPr>
                <w:rFonts w:cs="Arial"/>
                <w:b/>
                <w:sz w:val="20"/>
                <w:szCs w:val="20"/>
                <w:lang w:eastAsia="en-AU"/>
              </w:rPr>
              <w:t>Recyclate type</w:t>
            </w:r>
          </w:p>
        </w:tc>
        <w:tc>
          <w:tcPr>
            <w:tcW w:w="2329" w:type="dxa"/>
            <w:shd w:val="clear" w:color="auto" w:fill="D9D9D9" w:themeFill="background1" w:themeFillShade="D9"/>
            <w:noWrap/>
            <w:hideMark/>
          </w:tcPr>
          <w:p w14:paraId="25F37DF3" w14:textId="77777777" w:rsidR="00022915" w:rsidRPr="00222881" w:rsidRDefault="00022915" w:rsidP="00C53AB1">
            <w:pPr>
              <w:jc w:val="center"/>
              <w:rPr>
                <w:rFonts w:cs="Arial"/>
                <w:b/>
                <w:sz w:val="20"/>
                <w:szCs w:val="20"/>
                <w:lang w:eastAsia="en-AU"/>
              </w:rPr>
            </w:pPr>
            <w:r w:rsidRPr="00222881">
              <w:rPr>
                <w:rFonts w:cs="Arial"/>
                <w:b/>
                <w:sz w:val="20"/>
                <w:szCs w:val="20"/>
                <w:lang w:eastAsia="en-AU"/>
              </w:rPr>
              <w:t>Central estimate**</w:t>
            </w:r>
          </w:p>
        </w:tc>
        <w:tc>
          <w:tcPr>
            <w:tcW w:w="2329" w:type="dxa"/>
            <w:shd w:val="clear" w:color="auto" w:fill="D9D9D9" w:themeFill="background1" w:themeFillShade="D9"/>
          </w:tcPr>
          <w:p w14:paraId="0933943E" w14:textId="77777777" w:rsidR="00022915" w:rsidRPr="00222881" w:rsidRDefault="00022915" w:rsidP="00C53AB1">
            <w:pPr>
              <w:jc w:val="center"/>
              <w:rPr>
                <w:rFonts w:cs="Arial"/>
                <w:b/>
                <w:sz w:val="20"/>
                <w:szCs w:val="20"/>
                <w:lang w:eastAsia="en-AU"/>
              </w:rPr>
            </w:pPr>
            <w:r w:rsidRPr="00222881">
              <w:rPr>
                <w:rFonts w:cs="Arial"/>
                <w:b/>
                <w:sz w:val="20"/>
                <w:szCs w:val="20"/>
                <w:lang w:eastAsia="en-AU"/>
              </w:rPr>
              <w:t>Industry assumptions*</w:t>
            </w:r>
          </w:p>
        </w:tc>
        <w:tc>
          <w:tcPr>
            <w:tcW w:w="2329" w:type="dxa"/>
            <w:shd w:val="clear" w:color="auto" w:fill="D9D9D9" w:themeFill="background1" w:themeFillShade="D9"/>
          </w:tcPr>
          <w:p w14:paraId="1ACAD482" w14:textId="77777777" w:rsidR="00022915" w:rsidRPr="00222881" w:rsidRDefault="00022915" w:rsidP="00C53AB1">
            <w:pPr>
              <w:jc w:val="center"/>
              <w:rPr>
                <w:rFonts w:cs="Arial"/>
                <w:b/>
                <w:sz w:val="20"/>
                <w:szCs w:val="20"/>
                <w:lang w:eastAsia="en-AU"/>
              </w:rPr>
            </w:pPr>
            <w:r w:rsidRPr="00222881">
              <w:rPr>
                <w:rFonts w:cs="Arial"/>
                <w:b/>
                <w:sz w:val="20"/>
                <w:szCs w:val="20"/>
                <w:lang w:eastAsia="en-AU"/>
              </w:rPr>
              <w:t>CDS premium</w:t>
            </w:r>
          </w:p>
        </w:tc>
      </w:tr>
      <w:tr w:rsidR="00022915" w:rsidRPr="00222881" w14:paraId="391A7CD7" w14:textId="77777777" w:rsidTr="00C53AB1">
        <w:trPr>
          <w:trHeight w:val="255"/>
        </w:trPr>
        <w:tc>
          <w:tcPr>
            <w:tcW w:w="2085" w:type="dxa"/>
            <w:vMerge/>
            <w:shd w:val="clear" w:color="auto" w:fill="D9D9D9" w:themeFill="background1" w:themeFillShade="D9"/>
            <w:noWrap/>
            <w:vAlign w:val="bottom"/>
          </w:tcPr>
          <w:p w14:paraId="343109DE" w14:textId="77777777" w:rsidR="00022915" w:rsidRPr="00222881" w:rsidRDefault="00022915" w:rsidP="00C53AB1">
            <w:pPr>
              <w:pStyle w:val="Tabletext0"/>
              <w:keepNext/>
              <w:keepLines/>
              <w:widowControl w:val="0"/>
              <w:spacing w:before="60"/>
              <w:jc w:val="center"/>
              <w:rPr>
                <w:rFonts w:cs="Arial"/>
                <w:szCs w:val="20"/>
              </w:rPr>
            </w:pPr>
          </w:p>
        </w:tc>
        <w:tc>
          <w:tcPr>
            <w:tcW w:w="6987" w:type="dxa"/>
            <w:gridSpan w:val="3"/>
            <w:shd w:val="clear" w:color="auto" w:fill="D9D9D9" w:themeFill="background1" w:themeFillShade="D9"/>
            <w:noWrap/>
            <w:vAlign w:val="center"/>
          </w:tcPr>
          <w:p w14:paraId="585467AF" w14:textId="77777777" w:rsidR="00022915" w:rsidRPr="00222881" w:rsidRDefault="00022915" w:rsidP="00C53AB1">
            <w:pPr>
              <w:jc w:val="center"/>
              <w:rPr>
                <w:rFonts w:cs="Arial"/>
                <w:b/>
                <w:sz w:val="20"/>
                <w:szCs w:val="20"/>
              </w:rPr>
            </w:pPr>
            <w:r w:rsidRPr="00222881">
              <w:rPr>
                <w:rFonts w:cs="Arial"/>
                <w:b/>
                <w:sz w:val="20"/>
                <w:szCs w:val="20"/>
                <w:lang w:eastAsia="en-AU"/>
              </w:rPr>
              <w:t>($/tonne)</w:t>
            </w:r>
          </w:p>
        </w:tc>
      </w:tr>
      <w:tr w:rsidR="00022915" w:rsidRPr="00222881" w14:paraId="1561581B" w14:textId="77777777" w:rsidTr="00C53AB1">
        <w:trPr>
          <w:trHeight w:val="255"/>
        </w:trPr>
        <w:tc>
          <w:tcPr>
            <w:tcW w:w="2085" w:type="dxa"/>
            <w:shd w:val="clear" w:color="auto" w:fill="auto"/>
            <w:noWrap/>
            <w:vAlign w:val="bottom"/>
            <w:hideMark/>
          </w:tcPr>
          <w:p w14:paraId="48341CE5" w14:textId="77777777" w:rsidR="00022915" w:rsidRPr="00222881" w:rsidRDefault="00022915" w:rsidP="00C53AB1">
            <w:pPr>
              <w:pStyle w:val="Tabletext0"/>
              <w:keepNext/>
              <w:keepLines/>
              <w:widowControl w:val="0"/>
              <w:spacing w:before="60"/>
              <w:rPr>
                <w:rFonts w:cs="Arial"/>
                <w:szCs w:val="20"/>
              </w:rPr>
            </w:pPr>
            <w:r w:rsidRPr="00222881">
              <w:rPr>
                <w:rFonts w:cs="Arial"/>
                <w:szCs w:val="20"/>
              </w:rPr>
              <w:t>Paper/cardboard</w:t>
            </w:r>
          </w:p>
        </w:tc>
        <w:tc>
          <w:tcPr>
            <w:tcW w:w="2329" w:type="dxa"/>
            <w:shd w:val="clear" w:color="auto" w:fill="auto"/>
            <w:noWrap/>
            <w:vAlign w:val="center"/>
          </w:tcPr>
          <w:p w14:paraId="12456066" w14:textId="77777777" w:rsidR="00022915" w:rsidRPr="00222881" w:rsidRDefault="00022915" w:rsidP="00C53AB1">
            <w:pPr>
              <w:tabs>
                <w:tab w:val="decimal" w:pos="1310"/>
              </w:tabs>
              <w:rPr>
                <w:rFonts w:cs="Arial"/>
                <w:sz w:val="20"/>
                <w:szCs w:val="20"/>
                <w:lang w:eastAsia="en-AU"/>
              </w:rPr>
            </w:pPr>
            <w:r w:rsidRPr="00222881">
              <w:rPr>
                <w:rFonts w:cs="Arial"/>
                <w:sz w:val="20"/>
                <w:szCs w:val="20"/>
              </w:rPr>
              <w:t>30</w:t>
            </w:r>
          </w:p>
        </w:tc>
        <w:tc>
          <w:tcPr>
            <w:tcW w:w="2329" w:type="dxa"/>
            <w:shd w:val="clear" w:color="auto" w:fill="auto"/>
            <w:vAlign w:val="center"/>
          </w:tcPr>
          <w:p w14:paraId="0A8FEF6A" w14:textId="77777777" w:rsidR="00022915" w:rsidRPr="00222881" w:rsidRDefault="00022915" w:rsidP="00C53AB1">
            <w:pPr>
              <w:tabs>
                <w:tab w:val="decimal" w:pos="1310"/>
              </w:tabs>
              <w:rPr>
                <w:rFonts w:cs="Arial"/>
                <w:sz w:val="20"/>
                <w:szCs w:val="20"/>
                <w:lang w:eastAsia="en-AU"/>
              </w:rPr>
            </w:pPr>
            <w:r w:rsidRPr="00222881">
              <w:rPr>
                <w:rFonts w:cs="Arial"/>
                <w:sz w:val="20"/>
                <w:szCs w:val="20"/>
              </w:rPr>
              <w:t>0</w:t>
            </w:r>
          </w:p>
        </w:tc>
        <w:tc>
          <w:tcPr>
            <w:tcW w:w="2329" w:type="dxa"/>
            <w:shd w:val="clear" w:color="auto" w:fill="auto"/>
            <w:vAlign w:val="center"/>
          </w:tcPr>
          <w:p w14:paraId="4EE07E7D" w14:textId="77777777" w:rsidR="00022915" w:rsidRPr="00222881" w:rsidRDefault="00022915" w:rsidP="00C53AB1">
            <w:pPr>
              <w:tabs>
                <w:tab w:val="decimal" w:pos="1310"/>
              </w:tabs>
              <w:rPr>
                <w:rFonts w:cs="Arial"/>
                <w:sz w:val="20"/>
                <w:szCs w:val="20"/>
              </w:rPr>
            </w:pPr>
            <w:r w:rsidRPr="00222881">
              <w:rPr>
                <w:rFonts w:cs="Arial"/>
                <w:sz w:val="20"/>
                <w:szCs w:val="20"/>
              </w:rPr>
              <w:t>0</w:t>
            </w:r>
          </w:p>
        </w:tc>
      </w:tr>
      <w:tr w:rsidR="00022915" w:rsidRPr="00222881" w14:paraId="0C397543" w14:textId="77777777" w:rsidTr="00C53AB1">
        <w:trPr>
          <w:trHeight w:val="300"/>
        </w:trPr>
        <w:tc>
          <w:tcPr>
            <w:tcW w:w="2085" w:type="dxa"/>
            <w:shd w:val="clear" w:color="auto" w:fill="auto"/>
            <w:noWrap/>
            <w:vAlign w:val="bottom"/>
            <w:hideMark/>
          </w:tcPr>
          <w:p w14:paraId="527DBD5A" w14:textId="77777777" w:rsidR="00022915" w:rsidRPr="00222881" w:rsidRDefault="00022915" w:rsidP="00C53AB1">
            <w:pPr>
              <w:pStyle w:val="Tabletext0"/>
              <w:keepNext/>
              <w:keepLines/>
              <w:widowControl w:val="0"/>
              <w:spacing w:before="60"/>
              <w:rPr>
                <w:rFonts w:cs="Arial"/>
                <w:szCs w:val="20"/>
              </w:rPr>
            </w:pPr>
            <w:r w:rsidRPr="00222881">
              <w:rPr>
                <w:rFonts w:cs="Arial"/>
                <w:szCs w:val="20"/>
              </w:rPr>
              <w:t>Glass</w:t>
            </w:r>
          </w:p>
        </w:tc>
        <w:tc>
          <w:tcPr>
            <w:tcW w:w="2329" w:type="dxa"/>
            <w:shd w:val="clear" w:color="auto" w:fill="auto"/>
            <w:noWrap/>
            <w:vAlign w:val="center"/>
          </w:tcPr>
          <w:p w14:paraId="3CD612B7" w14:textId="77777777" w:rsidR="00022915" w:rsidRPr="00222881" w:rsidRDefault="00022915" w:rsidP="00C53AB1">
            <w:pPr>
              <w:tabs>
                <w:tab w:val="decimal" w:pos="1310"/>
              </w:tabs>
              <w:rPr>
                <w:rFonts w:cs="Arial"/>
                <w:sz w:val="20"/>
                <w:szCs w:val="20"/>
                <w:lang w:eastAsia="en-AU"/>
              </w:rPr>
            </w:pPr>
            <w:r w:rsidRPr="00222881">
              <w:rPr>
                <w:rFonts w:cs="Arial"/>
                <w:sz w:val="20"/>
                <w:szCs w:val="20"/>
              </w:rPr>
              <w:t>0</w:t>
            </w:r>
          </w:p>
        </w:tc>
        <w:tc>
          <w:tcPr>
            <w:tcW w:w="2329" w:type="dxa"/>
            <w:shd w:val="clear" w:color="auto" w:fill="auto"/>
            <w:vAlign w:val="center"/>
          </w:tcPr>
          <w:p w14:paraId="7B98DB55" w14:textId="77777777" w:rsidR="00022915" w:rsidRPr="00222881" w:rsidRDefault="00022915" w:rsidP="00C53AB1">
            <w:pPr>
              <w:tabs>
                <w:tab w:val="decimal" w:pos="1310"/>
              </w:tabs>
              <w:rPr>
                <w:rFonts w:cs="Arial"/>
                <w:sz w:val="20"/>
                <w:szCs w:val="20"/>
                <w:lang w:eastAsia="en-AU"/>
              </w:rPr>
            </w:pPr>
            <w:r w:rsidRPr="00222881">
              <w:rPr>
                <w:rFonts w:cs="Arial"/>
                <w:sz w:val="20"/>
                <w:szCs w:val="20"/>
              </w:rPr>
              <w:t>0</w:t>
            </w:r>
          </w:p>
        </w:tc>
        <w:tc>
          <w:tcPr>
            <w:tcW w:w="2329" w:type="dxa"/>
            <w:shd w:val="clear" w:color="auto" w:fill="auto"/>
            <w:vAlign w:val="center"/>
          </w:tcPr>
          <w:p w14:paraId="32233874" w14:textId="77777777" w:rsidR="00022915" w:rsidRPr="00222881" w:rsidRDefault="00022915" w:rsidP="00C53AB1">
            <w:pPr>
              <w:tabs>
                <w:tab w:val="decimal" w:pos="1310"/>
              </w:tabs>
              <w:rPr>
                <w:rFonts w:cs="Arial"/>
                <w:sz w:val="20"/>
                <w:szCs w:val="20"/>
              </w:rPr>
            </w:pPr>
            <w:r w:rsidRPr="00222881">
              <w:rPr>
                <w:rFonts w:cs="Arial"/>
                <w:sz w:val="20"/>
                <w:szCs w:val="20"/>
              </w:rPr>
              <w:t>+40</w:t>
            </w:r>
          </w:p>
        </w:tc>
      </w:tr>
      <w:tr w:rsidR="00022915" w:rsidRPr="00222881" w14:paraId="532920BD" w14:textId="77777777" w:rsidTr="00C53AB1">
        <w:trPr>
          <w:trHeight w:val="255"/>
        </w:trPr>
        <w:tc>
          <w:tcPr>
            <w:tcW w:w="2085" w:type="dxa"/>
            <w:shd w:val="clear" w:color="auto" w:fill="auto"/>
            <w:noWrap/>
            <w:vAlign w:val="bottom"/>
            <w:hideMark/>
          </w:tcPr>
          <w:p w14:paraId="13544AE2" w14:textId="77777777" w:rsidR="00022915" w:rsidRPr="00222881" w:rsidRDefault="00022915" w:rsidP="00C53AB1">
            <w:pPr>
              <w:pStyle w:val="Tabletext0"/>
              <w:keepNext/>
              <w:keepLines/>
              <w:widowControl w:val="0"/>
              <w:spacing w:before="60"/>
              <w:rPr>
                <w:rFonts w:cs="Arial"/>
                <w:szCs w:val="20"/>
              </w:rPr>
            </w:pPr>
            <w:r w:rsidRPr="00222881">
              <w:rPr>
                <w:rFonts w:cs="Arial"/>
                <w:szCs w:val="20"/>
              </w:rPr>
              <w:t>PET</w:t>
            </w:r>
          </w:p>
        </w:tc>
        <w:tc>
          <w:tcPr>
            <w:tcW w:w="2329" w:type="dxa"/>
            <w:shd w:val="clear" w:color="auto" w:fill="auto"/>
            <w:noWrap/>
            <w:vAlign w:val="center"/>
          </w:tcPr>
          <w:p w14:paraId="23C974C7" w14:textId="77777777" w:rsidR="00022915" w:rsidRPr="00222881" w:rsidRDefault="00022915" w:rsidP="00C53AB1">
            <w:pPr>
              <w:tabs>
                <w:tab w:val="decimal" w:pos="1310"/>
              </w:tabs>
              <w:rPr>
                <w:rFonts w:cs="Arial"/>
                <w:sz w:val="20"/>
                <w:szCs w:val="20"/>
                <w:lang w:eastAsia="en-AU"/>
              </w:rPr>
            </w:pPr>
            <w:r w:rsidRPr="00222881">
              <w:rPr>
                <w:rFonts w:cs="Arial"/>
                <w:sz w:val="20"/>
                <w:szCs w:val="20"/>
              </w:rPr>
              <w:t>90</w:t>
            </w:r>
          </w:p>
        </w:tc>
        <w:tc>
          <w:tcPr>
            <w:tcW w:w="2329" w:type="dxa"/>
            <w:shd w:val="clear" w:color="auto" w:fill="auto"/>
            <w:vAlign w:val="center"/>
          </w:tcPr>
          <w:p w14:paraId="0291C45F" w14:textId="77777777" w:rsidR="00022915" w:rsidRPr="00222881" w:rsidRDefault="00022915" w:rsidP="00C53AB1">
            <w:pPr>
              <w:tabs>
                <w:tab w:val="decimal" w:pos="1310"/>
              </w:tabs>
              <w:rPr>
                <w:rFonts w:cs="Arial"/>
                <w:sz w:val="20"/>
                <w:szCs w:val="20"/>
                <w:lang w:eastAsia="en-AU"/>
              </w:rPr>
            </w:pPr>
            <w:r w:rsidRPr="00222881">
              <w:rPr>
                <w:rFonts w:cs="Arial"/>
                <w:sz w:val="20"/>
                <w:szCs w:val="20"/>
              </w:rPr>
              <w:t>230</w:t>
            </w:r>
          </w:p>
        </w:tc>
        <w:tc>
          <w:tcPr>
            <w:tcW w:w="2329" w:type="dxa"/>
            <w:shd w:val="clear" w:color="auto" w:fill="auto"/>
            <w:vAlign w:val="center"/>
          </w:tcPr>
          <w:p w14:paraId="2D272E54" w14:textId="77777777" w:rsidR="00022915" w:rsidRPr="00222881" w:rsidRDefault="00022915" w:rsidP="00C53AB1">
            <w:pPr>
              <w:tabs>
                <w:tab w:val="decimal" w:pos="1310"/>
              </w:tabs>
              <w:rPr>
                <w:rFonts w:cs="Arial"/>
                <w:sz w:val="20"/>
                <w:szCs w:val="20"/>
              </w:rPr>
            </w:pPr>
            <w:r w:rsidRPr="00222881">
              <w:rPr>
                <w:rFonts w:cs="Arial"/>
                <w:sz w:val="20"/>
                <w:szCs w:val="20"/>
              </w:rPr>
              <w:t>+30</w:t>
            </w:r>
          </w:p>
        </w:tc>
      </w:tr>
      <w:tr w:rsidR="00022915" w:rsidRPr="00222881" w14:paraId="6AAC6170" w14:textId="77777777" w:rsidTr="00C53AB1">
        <w:trPr>
          <w:trHeight w:val="255"/>
        </w:trPr>
        <w:tc>
          <w:tcPr>
            <w:tcW w:w="2085" w:type="dxa"/>
            <w:shd w:val="clear" w:color="auto" w:fill="auto"/>
            <w:noWrap/>
            <w:vAlign w:val="bottom"/>
            <w:hideMark/>
          </w:tcPr>
          <w:p w14:paraId="6BD9C36E" w14:textId="77777777" w:rsidR="00022915" w:rsidRPr="00222881" w:rsidRDefault="00022915" w:rsidP="00C53AB1">
            <w:pPr>
              <w:pStyle w:val="Tabletext0"/>
              <w:keepNext/>
              <w:keepLines/>
              <w:widowControl w:val="0"/>
              <w:spacing w:before="60"/>
              <w:rPr>
                <w:rFonts w:cs="Arial"/>
                <w:szCs w:val="20"/>
              </w:rPr>
            </w:pPr>
            <w:r w:rsidRPr="00222881">
              <w:rPr>
                <w:rFonts w:cs="Arial"/>
                <w:szCs w:val="20"/>
              </w:rPr>
              <w:t>HDPE</w:t>
            </w:r>
          </w:p>
        </w:tc>
        <w:tc>
          <w:tcPr>
            <w:tcW w:w="2329" w:type="dxa"/>
            <w:shd w:val="clear" w:color="auto" w:fill="auto"/>
            <w:noWrap/>
            <w:vAlign w:val="center"/>
          </w:tcPr>
          <w:p w14:paraId="1C2B4BD3" w14:textId="77777777" w:rsidR="00022915" w:rsidRPr="00222881" w:rsidRDefault="00022915" w:rsidP="00C53AB1">
            <w:pPr>
              <w:tabs>
                <w:tab w:val="decimal" w:pos="1310"/>
              </w:tabs>
              <w:rPr>
                <w:rFonts w:cs="Arial"/>
                <w:sz w:val="20"/>
                <w:szCs w:val="20"/>
                <w:lang w:eastAsia="en-AU"/>
              </w:rPr>
            </w:pPr>
            <w:r w:rsidRPr="00222881">
              <w:rPr>
                <w:rFonts w:cs="Arial"/>
                <w:sz w:val="20"/>
                <w:szCs w:val="20"/>
              </w:rPr>
              <w:t>90</w:t>
            </w:r>
          </w:p>
        </w:tc>
        <w:tc>
          <w:tcPr>
            <w:tcW w:w="2329" w:type="dxa"/>
            <w:shd w:val="clear" w:color="auto" w:fill="auto"/>
            <w:vAlign w:val="center"/>
          </w:tcPr>
          <w:p w14:paraId="440890AE" w14:textId="77777777" w:rsidR="00022915" w:rsidRPr="00222881" w:rsidRDefault="00022915" w:rsidP="00C53AB1">
            <w:pPr>
              <w:tabs>
                <w:tab w:val="decimal" w:pos="1310"/>
              </w:tabs>
              <w:rPr>
                <w:rFonts w:cs="Arial"/>
                <w:sz w:val="20"/>
                <w:szCs w:val="20"/>
                <w:lang w:eastAsia="en-AU"/>
              </w:rPr>
            </w:pPr>
            <w:r w:rsidRPr="00222881">
              <w:rPr>
                <w:rFonts w:cs="Arial"/>
                <w:sz w:val="20"/>
                <w:szCs w:val="20"/>
              </w:rPr>
              <w:t>620</w:t>
            </w:r>
          </w:p>
        </w:tc>
        <w:tc>
          <w:tcPr>
            <w:tcW w:w="2329" w:type="dxa"/>
            <w:shd w:val="clear" w:color="auto" w:fill="auto"/>
            <w:vAlign w:val="center"/>
          </w:tcPr>
          <w:p w14:paraId="17A33170" w14:textId="77777777" w:rsidR="00022915" w:rsidRPr="00222881" w:rsidRDefault="00022915" w:rsidP="00C53AB1">
            <w:pPr>
              <w:tabs>
                <w:tab w:val="decimal" w:pos="1310"/>
              </w:tabs>
              <w:rPr>
                <w:rFonts w:cs="Arial"/>
                <w:sz w:val="20"/>
                <w:szCs w:val="20"/>
              </w:rPr>
            </w:pPr>
            <w:r w:rsidRPr="00222881">
              <w:rPr>
                <w:rFonts w:cs="Arial"/>
                <w:sz w:val="20"/>
                <w:szCs w:val="20"/>
              </w:rPr>
              <w:t>+30</w:t>
            </w:r>
          </w:p>
        </w:tc>
      </w:tr>
      <w:tr w:rsidR="00022915" w:rsidRPr="00222881" w14:paraId="18D5A078" w14:textId="77777777" w:rsidTr="00C53AB1">
        <w:trPr>
          <w:trHeight w:val="255"/>
        </w:trPr>
        <w:tc>
          <w:tcPr>
            <w:tcW w:w="2085" w:type="dxa"/>
            <w:shd w:val="clear" w:color="auto" w:fill="auto"/>
            <w:noWrap/>
            <w:vAlign w:val="bottom"/>
            <w:hideMark/>
          </w:tcPr>
          <w:p w14:paraId="7222F806" w14:textId="77777777" w:rsidR="00022915" w:rsidRPr="00222881" w:rsidRDefault="00022915" w:rsidP="00C53AB1">
            <w:pPr>
              <w:pStyle w:val="Tabletext0"/>
              <w:keepNext/>
              <w:keepLines/>
              <w:widowControl w:val="0"/>
              <w:spacing w:before="60"/>
              <w:rPr>
                <w:rFonts w:cs="Arial"/>
                <w:szCs w:val="20"/>
              </w:rPr>
            </w:pPr>
            <w:r w:rsidRPr="00222881">
              <w:rPr>
                <w:rFonts w:cs="Arial"/>
                <w:szCs w:val="20"/>
              </w:rPr>
              <w:t>Aluminium cans</w:t>
            </w:r>
          </w:p>
        </w:tc>
        <w:tc>
          <w:tcPr>
            <w:tcW w:w="2329" w:type="dxa"/>
            <w:shd w:val="clear" w:color="auto" w:fill="auto"/>
            <w:noWrap/>
            <w:vAlign w:val="center"/>
          </w:tcPr>
          <w:p w14:paraId="4292056D" w14:textId="77777777" w:rsidR="00022915" w:rsidRPr="00222881" w:rsidRDefault="00022915" w:rsidP="00C53AB1">
            <w:pPr>
              <w:tabs>
                <w:tab w:val="decimal" w:pos="1310"/>
              </w:tabs>
              <w:rPr>
                <w:rFonts w:cs="Arial"/>
                <w:sz w:val="20"/>
                <w:szCs w:val="20"/>
                <w:lang w:eastAsia="en-AU"/>
              </w:rPr>
            </w:pPr>
            <w:r w:rsidRPr="00222881">
              <w:rPr>
                <w:rFonts w:cs="Arial"/>
                <w:sz w:val="20"/>
                <w:szCs w:val="20"/>
              </w:rPr>
              <w:t>1,300</w:t>
            </w:r>
          </w:p>
        </w:tc>
        <w:tc>
          <w:tcPr>
            <w:tcW w:w="2329" w:type="dxa"/>
            <w:shd w:val="clear" w:color="auto" w:fill="auto"/>
            <w:vAlign w:val="center"/>
          </w:tcPr>
          <w:p w14:paraId="76E6FB30" w14:textId="77777777" w:rsidR="00022915" w:rsidRPr="00222881" w:rsidRDefault="00022915" w:rsidP="00C53AB1">
            <w:pPr>
              <w:tabs>
                <w:tab w:val="decimal" w:pos="1310"/>
              </w:tabs>
              <w:rPr>
                <w:rFonts w:cs="Arial"/>
                <w:sz w:val="20"/>
                <w:szCs w:val="20"/>
                <w:lang w:eastAsia="en-AU"/>
              </w:rPr>
            </w:pPr>
            <w:r w:rsidRPr="00222881">
              <w:rPr>
                <w:rFonts w:cs="Arial"/>
                <w:sz w:val="20"/>
                <w:szCs w:val="20"/>
              </w:rPr>
              <w:t>1,500</w:t>
            </w:r>
          </w:p>
        </w:tc>
        <w:tc>
          <w:tcPr>
            <w:tcW w:w="2329" w:type="dxa"/>
            <w:shd w:val="clear" w:color="auto" w:fill="auto"/>
            <w:vAlign w:val="center"/>
          </w:tcPr>
          <w:p w14:paraId="163F636A" w14:textId="77777777" w:rsidR="00022915" w:rsidRPr="00222881" w:rsidRDefault="00022915" w:rsidP="00C53AB1">
            <w:pPr>
              <w:tabs>
                <w:tab w:val="decimal" w:pos="1310"/>
              </w:tabs>
              <w:rPr>
                <w:rFonts w:cs="Arial"/>
                <w:sz w:val="20"/>
                <w:szCs w:val="20"/>
              </w:rPr>
            </w:pPr>
            <w:r w:rsidRPr="00222881">
              <w:rPr>
                <w:rFonts w:cs="Arial"/>
                <w:sz w:val="20"/>
                <w:szCs w:val="20"/>
              </w:rPr>
              <w:t>+100</w:t>
            </w:r>
          </w:p>
        </w:tc>
      </w:tr>
    </w:tbl>
    <w:p w14:paraId="5679CF98" w14:textId="77777777" w:rsidR="00022915" w:rsidRPr="00222881" w:rsidRDefault="00022915" w:rsidP="00022915">
      <w:pPr>
        <w:pStyle w:val="DWERSource"/>
      </w:pPr>
      <w:r w:rsidRPr="00222881">
        <w:t xml:space="preserve">* </w:t>
      </w:r>
      <w:r w:rsidRPr="00222881">
        <w:tab/>
        <w:t>Based on commercial feedback from Western Australia reflecting current prices.</w:t>
      </w:r>
    </w:p>
    <w:p w14:paraId="1A1DD64F" w14:textId="77777777" w:rsidR="00022915" w:rsidRPr="00222881" w:rsidRDefault="00022915" w:rsidP="00022915">
      <w:pPr>
        <w:pStyle w:val="DWERSource"/>
      </w:pPr>
      <w:r w:rsidRPr="00222881">
        <w:t xml:space="preserve">** </w:t>
      </w:r>
      <w:r w:rsidRPr="00222881">
        <w:tab/>
        <w:t xml:space="preserve">To ensure that the value of recyclates is conservative, the central case assumes a significantly lower average price for recyclates than that provided by industry, with the exception of paper/cardboard. In this case the current price provided by industry was not assessed to be reflective of long-term trends. </w:t>
      </w:r>
    </w:p>
    <w:p w14:paraId="05B3513F" w14:textId="77777777" w:rsidR="00022915" w:rsidRPr="00222881" w:rsidRDefault="00022915" w:rsidP="00022915">
      <w:r w:rsidRPr="00222881">
        <w:t xml:space="preserve">Recent changes to China’s import policy for recyclates (China's "National Sword" Policy) is a case in point.  The short-term impact of this policy change may be to depress the price of some recyclates. It is not envisaged to have a long term impact on prices as other markets are considered likely to emerge over the assessment timeframe (20 years). </w:t>
      </w:r>
    </w:p>
    <w:p w14:paraId="4B40885F" w14:textId="77777777" w:rsidR="00022915" w:rsidRPr="00222881" w:rsidRDefault="00022915" w:rsidP="00022915">
      <w:pPr>
        <w:pStyle w:val="Heading4"/>
      </w:pPr>
      <w:r w:rsidRPr="00222881">
        <w:t>Glass</w:t>
      </w:r>
    </w:p>
    <w:p w14:paraId="05BC7DFB" w14:textId="77777777" w:rsidR="00022915" w:rsidRPr="00222881" w:rsidRDefault="00022915" w:rsidP="00022915">
      <w:r w:rsidRPr="00222881">
        <w:t>Where glass is concerned, there is a declining market interest. However, there are currently two markets. There is a market for glass in a form prepared for glass re</w:t>
      </w:r>
      <w:r w:rsidRPr="00222881">
        <w:noBreakHyphen/>
        <w:t>processing (‘pre-processed’) and a market for glass that has not yet been pre</w:t>
      </w:r>
      <w:r w:rsidRPr="00222881">
        <w:noBreakHyphen/>
        <w:t>processed. As pre-processing involves a cost, the market value for pre</w:t>
      </w:r>
      <w:r w:rsidRPr="00222881">
        <w:noBreakHyphen/>
        <w:t>processed glass would be higher than the market for glass not yet pre</w:t>
      </w:r>
      <w:r w:rsidRPr="00222881">
        <w:noBreakHyphen/>
        <w:t>processed.</w:t>
      </w:r>
    </w:p>
    <w:p w14:paraId="2B39B504" w14:textId="77777777" w:rsidR="00022915" w:rsidRPr="00222881" w:rsidRDefault="00022915" w:rsidP="00022915">
      <w:r w:rsidRPr="00222881">
        <w:t>It was also clear from stakeholder discussions undertaken for previous projects that a wide range of values are being observed. This variation stems from the highly concentrated industry structure.</w:t>
      </w:r>
    </w:p>
    <w:p w14:paraId="5FE22215" w14:textId="77777777" w:rsidR="00022915" w:rsidRPr="00222881" w:rsidRDefault="00022915" w:rsidP="00022915">
      <w:r w:rsidRPr="00222881">
        <w:t>The selected market values are based on recycling industry sources, specifically relating to material not yet pre-processed, representing a large proportion of the market and verified against prices received by suppliers of that material. These are:</w:t>
      </w:r>
    </w:p>
    <w:p w14:paraId="01427259" w14:textId="77777777" w:rsidR="00022915" w:rsidRPr="00222881" w:rsidRDefault="00022915" w:rsidP="00022915">
      <w:pPr>
        <w:pStyle w:val="Bullets1stindent"/>
        <w:spacing w:before="60" w:line="240" w:lineRule="auto"/>
      </w:pPr>
      <w:r w:rsidRPr="00222881">
        <w:t>nil value ($0 per tonne) for glass from non-CDS sources; and</w:t>
      </w:r>
    </w:p>
    <w:p w14:paraId="6D297754" w14:textId="77777777" w:rsidR="00022915" w:rsidRPr="00222881" w:rsidRDefault="00022915" w:rsidP="00022915">
      <w:pPr>
        <w:pStyle w:val="Bullets1stindent"/>
        <w:spacing w:before="60" w:line="240" w:lineRule="auto"/>
      </w:pPr>
      <w:r w:rsidRPr="00222881">
        <w:t>$40 per tonne for glass from CDS sources.</w:t>
      </w:r>
    </w:p>
    <w:p w14:paraId="6AD3B7CB" w14:textId="77777777" w:rsidR="00022915" w:rsidRPr="00222881" w:rsidRDefault="00022915" w:rsidP="00022915">
      <w:pPr>
        <w:pStyle w:val="Heading4"/>
      </w:pPr>
      <w:r w:rsidRPr="00222881">
        <w:t>Aluminium cans</w:t>
      </w:r>
    </w:p>
    <w:p w14:paraId="573EC9E0" w14:textId="77777777" w:rsidR="00022915" w:rsidRPr="00222881" w:rsidRDefault="00022915" w:rsidP="00022915">
      <w:r w:rsidRPr="00222881">
        <w:t>Market prices for aluminium from a CDS have increased recently, but it is unclear whether this is a long</w:t>
      </w:r>
      <w:r w:rsidRPr="00222881">
        <w:noBreakHyphen/>
        <w:t>run structural shift in the market or a short-run price shift. Therefore, the analysis assumes a long-run value for aluminium of $1,300 per tonne, with a $100 per tonne premium for CDS material. Sensitivity testing was undertaken using a long-run value of $1,500 per tonne.</w:t>
      </w:r>
    </w:p>
    <w:p w14:paraId="1ED37C34" w14:textId="77777777" w:rsidR="00022915" w:rsidRPr="00222881" w:rsidRDefault="00022915" w:rsidP="00022915">
      <w:pPr>
        <w:pStyle w:val="Heading4"/>
      </w:pPr>
      <w:r w:rsidRPr="00222881">
        <w:t>Plastics</w:t>
      </w:r>
    </w:p>
    <w:p w14:paraId="3250AAF6" w14:textId="77777777" w:rsidR="00022915" w:rsidRPr="00222881" w:rsidRDefault="00022915" w:rsidP="00022915">
      <w:r w:rsidRPr="00222881">
        <w:t>Marsden Jacob Associates advised that previous projects indicate a higher average value for plastics from CDS sources compared with plastic from conventional sources based on:</w:t>
      </w:r>
    </w:p>
    <w:p w14:paraId="5BBB7190" w14:textId="77777777" w:rsidR="00022915" w:rsidRPr="00222881" w:rsidRDefault="00022915" w:rsidP="00022915">
      <w:pPr>
        <w:pStyle w:val="Bullets1stindent"/>
        <w:spacing w:before="60" w:line="240" w:lineRule="auto"/>
      </w:pPr>
      <w:r w:rsidRPr="00222881">
        <w:t>the polymer mix from CDS sources having greater proportions of higher value polymers; and</w:t>
      </w:r>
    </w:p>
    <w:p w14:paraId="4100851E" w14:textId="77777777" w:rsidR="00022915" w:rsidRPr="00222881" w:rsidRDefault="00022915" w:rsidP="00022915">
      <w:pPr>
        <w:pStyle w:val="Bullets1stindent"/>
        <w:spacing w:before="60" w:line="240" w:lineRule="auto"/>
      </w:pPr>
      <w:r w:rsidRPr="00222881">
        <w:t>the material from a CDS being of higher quality.</w:t>
      </w:r>
    </w:p>
    <w:p w14:paraId="4BFFA7A4" w14:textId="77777777" w:rsidR="00022915" w:rsidRPr="00222881" w:rsidRDefault="00022915" w:rsidP="00022915">
      <w:r w:rsidRPr="00222881">
        <w:t>The recyclate value for plastics has decreased in recent years.  For this analysis, the assumed long-run value of plastic is $90 per tonne, with a $30 per tonne premium for beverage plastics (PET and HDPE) owing to the higher quality of materials.  Sensitivity testing was undertaken using a long</w:t>
      </w:r>
      <w:r w:rsidRPr="00222881">
        <w:noBreakHyphen/>
        <w:t xml:space="preserve">run value of $230 per tonne for PET and $620 per tonne for HDPE. </w:t>
      </w:r>
    </w:p>
    <w:p w14:paraId="29CF0CF4" w14:textId="77777777" w:rsidR="00022915" w:rsidRPr="00222881" w:rsidRDefault="00022915" w:rsidP="00022915">
      <w:pPr>
        <w:pStyle w:val="Heading4"/>
      </w:pPr>
      <w:r w:rsidRPr="00222881">
        <w:t>Liquid paper board</w:t>
      </w:r>
    </w:p>
    <w:p w14:paraId="0730C655" w14:textId="77777777" w:rsidR="00022915" w:rsidRPr="00222881" w:rsidRDefault="00022915" w:rsidP="00022915">
      <w:r w:rsidRPr="00222881">
        <w:t>Stakeholder discussions have identified that the value of liquid paperboard has fallen significantly.  It is unclear whether this is a long</w:t>
      </w:r>
      <w:r w:rsidRPr="00222881">
        <w:noBreakHyphen/>
        <w:t>run structural shift in the market or a short</w:t>
      </w:r>
      <w:r w:rsidRPr="00222881">
        <w:noBreakHyphen/>
        <w:t>run price shift.  This analysis assumes $30 per tonne, with no premium for CDS</w:t>
      </w:r>
      <w:r w:rsidRPr="00222881">
        <w:noBreakHyphen/>
        <w:t>sourced liquid paperboard.</w:t>
      </w:r>
    </w:p>
    <w:p w14:paraId="75356E9C" w14:textId="77777777" w:rsidR="00022915" w:rsidRPr="00222881" w:rsidRDefault="00022915" w:rsidP="00022915">
      <w:r w:rsidRPr="00222881">
        <w:t xml:space="preserve">The impact of using the higher recyclates values on the cost-benefit analysis results are is shown in </w:t>
      </w:r>
      <w:r w:rsidRPr="00222881">
        <w:fldChar w:fldCharType="begin"/>
      </w:r>
      <w:r w:rsidRPr="00222881">
        <w:instrText xml:space="preserve"> REF _Ref506495463 \h </w:instrText>
      </w:r>
      <w:r>
        <w:instrText xml:space="preserve"> \* MERGEFORMAT </w:instrText>
      </w:r>
      <w:r w:rsidRPr="00222881">
        <w:fldChar w:fldCharType="separate"/>
      </w:r>
      <w:r w:rsidRPr="00222881">
        <w:t xml:space="preserve">Table </w:t>
      </w:r>
      <w:r>
        <w:rPr>
          <w:noProof/>
        </w:rPr>
        <w:t>10</w:t>
      </w:r>
      <w:r w:rsidRPr="00222881">
        <w:fldChar w:fldCharType="end"/>
      </w:r>
      <w:r w:rsidRPr="00222881">
        <w:t>.</w:t>
      </w:r>
    </w:p>
    <w:p w14:paraId="1DE15EAB" w14:textId="77777777" w:rsidR="00022915" w:rsidRPr="00222881" w:rsidRDefault="00022915" w:rsidP="00022915">
      <w:pPr>
        <w:pStyle w:val="Caption"/>
      </w:pPr>
      <w:bookmarkStart w:id="131" w:name="_Ref506495463"/>
      <w:bookmarkStart w:id="132" w:name="_Toc506552693"/>
      <w:bookmarkStart w:id="133" w:name="_Toc10031219"/>
      <w:r w:rsidRPr="00222881">
        <w:t xml:space="preserve">Table </w:t>
      </w:r>
      <w:r w:rsidR="00CF34D3">
        <w:rPr>
          <w:noProof/>
        </w:rPr>
        <w:fldChar w:fldCharType="begin"/>
      </w:r>
      <w:r w:rsidR="00CF34D3">
        <w:rPr>
          <w:noProof/>
        </w:rPr>
        <w:instrText xml:space="preserve"> SEQ Table \* ARABIC </w:instrText>
      </w:r>
      <w:r w:rsidR="00CF34D3">
        <w:rPr>
          <w:noProof/>
        </w:rPr>
        <w:fldChar w:fldCharType="separate"/>
      </w:r>
      <w:r>
        <w:rPr>
          <w:noProof/>
        </w:rPr>
        <w:t>10</w:t>
      </w:r>
      <w:r w:rsidR="00CF34D3">
        <w:rPr>
          <w:noProof/>
        </w:rPr>
        <w:fldChar w:fldCharType="end"/>
      </w:r>
      <w:bookmarkEnd w:id="131"/>
      <w:r w:rsidRPr="00222881">
        <w:t>: Recyclate value sensitivity test</w:t>
      </w:r>
      <w:bookmarkEnd w:id="132"/>
      <w:bookmarkEnd w:id="13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cyclate value  sensitivity test"/>
        <w:tblDescription w:val="Results of the cost benefit analysis using different assumptions for the value of recyclates."/>
      </w:tblPr>
      <w:tblGrid>
        <w:gridCol w:w="4092"/>
        <w:gridCol w:w="2489"/>
        <w:gridCol w:w="2491"/>
      </w:tblGrid>
      <w:tr w:rsidR="00022915" w:rsidRPr="00222881" w14:paraId="2FE42A27" w14:textId="77777777" w:rsidTr="00C53AB1">
        <w:trPr>
          <w:tblHeader/>
        </w:trPr>
        <w:tc>
          <w:tcPr>
            <w:tcW w:w="4092" w:type="dxa"/>
            <w:shd w:val="clear" w:color="auto" w:fill="D9D9D9" w:themeFill="background1" w:themeFillShade="D9"/>
            <w:vAlign w:val="center"/>
          </w:tcPr>
          <w:p w14:paraId="69F993AB" w14:textId="77777777" w:rsidR="00022915" w:rsidRPr="00222881" w:rsidRDefault="00022915" w:rsidP="00C53AB1">
            <w:pPr>
              <w:pStyle w:val="Tableheading0"/>
            </w:pPr>
            <w:r w:rsidRPr="00222881">
              <w:t xml:space="preserve">Variable </w:t>
            </w:r>
            <w:r w:rsidRPr="00222881">
              <w:noBreakHyphen/>
              <w:t xml:space="preserve"> recyclates value</w:t>
            </w:r>
          </w:p>
        </w:tc>
        <w:tc>
          <w:tcPr>
            <w:tcW w:w="2489" w:type="dxa"/>
            <w:shd w:val="clear" w:color="auto" w:fill="D9D9D9" w:themeFill="background1" w:themeFillShade="D9"/>
            <w:vAlign w:val="center"/>
          </w:tcPr>
          <w:p w14:paraId="26A30740" w14:textId="77777777" w:rsidR="00022915" w:rsidRPr="00222881" w:rsidRDefault="00022915" w:rsidP="00C53AB1">
            <w:pPr>
              <w:pStyle w:val="Tableheading0"/>
            </w:pPr>
            <w:r w:rsidRPr="00222881">
              <w:t xml:space="preserve">Net present value </w:t>
            </w:r>
            <w:r w:rsidRPr="00222881">
              <w:br/>
              <w:t>($ million)</w:t>
            </w:r>
          </w:p>
        </w:tc>
        <w:tc>
          <w:tcPr>
            <w:tcW w:w="2491" w:type="dxa"/>
            <w:shd w:val="clear" w:color="auto" w:fill="D9D9D9" w:themeFill="background1" w:themeFillShade="D9"/>
            <w:vAlign w:val="center"/>
          </w:tcPr>
          <w:p w14:paraId="5759ECF4" w14:textId="77777777" w:rsidR="00022915" w:rsidRPr="00222881" w:rsidRDefault="00022915" w:rsidP="00C53AB1">
            <w:pPr>
              <w:pStyle w:val="Tableheading0"/>
            </w:pPr>
            <w:r w:rsidRPr="00222881">
              <w:t>Benefit-cost ratio</w:t>
            </w:r>
          </w:p>
        </w:tc>
      </w:tr>
      <w:tr w:rsidR="00022915" w:rsidRPr="00222881" w14:paraId="5EBC6F32" w14:textId="77777777" w:rsidTr="00C53AB1">
        <w:tc>
          <w:tcPr>
            <w:tcW w:w="4092" w:type="dxa"/>
            <w:shd w:val="clear" w:color="auto" w:fill="auto"/>
            <w:vAlign w:val="center"/>
          </w:tcPr>
          <w:p w14:paraId="5F31E804" w14:textId="77777777" w:rsidR="00022915" w:rsidRPr="00222881" w:rsidRDefault="00022915" w:rsidP="00C53AB1">
            <w:pPr>
              <w:pStyle w:val="Tabletext0"/>
              <w:keepNext/>
              <w:widowControl w:val="0"/>
              <w:spacing w:before="60"/>
              <w:rPr>
                <w:rFonts w:cs="Arial"/>
                <w:szCs w:val="20"/>
              </w:rPr>
            </w:pPr>
            <w:r w:rsidRPr="00222881">
              <w:rPr>
                <w:rFonts w:cs="Arial"/>
                <w:szCs w:val="20"/>
              </w:rPr>
              <w:t>Low (central estimate)</w:t>
            </w:r>
          </w:p>
        </w:tc>
        <w:tc>
          <w:tcPr>
            <w:tcW w:w="2489" w:type="dxa"/>
            <w:shd w:val="clear" w:color="auto" w:fill="auto"/>
            <w:vAlign w:val="center"/>
          </w:tcPr>
          <w:p w14:paraId="189ED718" w14:textId="77777777" w:rsidR="00022915" w:rsidRPr="00222881" w:rsidRDefault="00022915" w:rsidP="00C53AB1">
            <w:pPr>
              <w:pStyle w:val="Tabletext0"/>
              <w:keepNext/>
              <w:widowControl w:val="0"/>
              <w:spacing w:before="60"/>
              <w:ind w:right="-41"/>
              <w:jc w:val="center"/>
              <w:rPr>
                <w:rFonts w:cs="Arial"/>
                <w:szCs w:val="20"/>
              </w:rPr>
            </w:pPr>
            <w:r w:rsidRPr="00222881">
              <w:rPr>
                <w:rFonts w:cs="Arial"/>
                <w:szCs w:val="20"/>
              </w:rPr>
              <w:t>128</w:t>
            </w:r>
          </w:p>
        </w:tc>
        <w:tc>
          <w:tcPr>
            <w:tcW w:w="2491" w:type="dxa"/>
            <w:shd w:val="clear" w:color="auto" w:fill="auto"/>
            <w:vAlign w:val="center"/>
          </w:tcPr>
          <w:p w14:paraId="20AE6DF1" w14:textId="77777777" w:rsidR="00022915" w:rsidRPr="00222881" w:rsidRDefault="00022915" w:rsidP="00C53AB1">
            <w:pPr>
              <w:pStyle w:val="Tabletext0"/>
              <w:keepNext/>
              <w:widowControl w:val="0"/>
              <w:spacing w:before="60"/>
              <w:jc w:val="center"/>
              <w:rPr>
                <w:rFonts w:cs="Arial"/>
                <w:szCs w:val="20"/>
              </w:rPr>
            </w:pPr>
            <w:r w:rsidRPr="00222881">
              <w:rPr>
                <w:rFonts w:cs="Arial"/>
                <w:szCs w:val="20"/>
              </w:rPr>
              <w:t>1.29</w:t>
            </w:r>
          </w:p>
        </w:tc>
      </w:tr>
      <w:tr w:rsidR="00022915" w:rsidRPr="00222881" w14:paraId="7C8F7B9D" w14:textId="77777777" w:rsidTr="00C53AB1">
        <w:tc>
          <w:tcPr>
            <w:tcW w:w="4092" w:type="dxa"/>
            <w:shd w:val="clear" w:color="auto" w:fill="auto"/>
            <w:vAlign w:val="center"/>
          </w:tcPr>
          <w:p w14:paraId="7E02B74A" w14:textId="77777777" w:rsidR="00022915" w:rsidRPr="00222881" w:rsidRDefault="00022915" w:rsidP="00C53AB1">
            <w:pPr>
              <w:pStyle w:val="Tabletext0"/>
              <w:widowControl w:val="0"/>
              <w:spacing w:before="60"/>
              <w:rPr>
                <w:rFonts w:cs="Arial"/>
                <w:szCs w:val="20"/>
              </w:rPr>
            </w:pPr>
            <w:r w:rsidRPr="00222881">
              <w:rPr>
                <w:rFonts w:cs="Arial"/>
                <w:szCs w:val="20"/>
              </w:rPr>
              <w:t>High (alternative scenario)</w:t>
            </w:r>
          </w:p>
        </w:tc>
        <w:tc>
          <w:tcPr>
            <w:tcW w:w="2489" w:type="dxa"/>
            <w:shd w:val="clear" w:color="auto" w:fill="auto"/>
            <w:vAlign w:val="center"/>
          </w:tcPr>
          <w:p w14:paraId="493E81D3" w14:textId="77777777" w:rsidR="00022915" w:rsidRPr="00222881" w:rsidRDefault="00022915" w:rsidP="00C53AB1">
            <w:pPr>
              <w:pStyle w:val="Tabletext0"/>
              <w:widowControl w:val="0"/>
              <w:spacing w:before="60"/>
              <w:jc w:val="center"/>
              <w:rPr>
                <w:rFonts w:cs="Arial"/>
                <w:szCs w:val="20"/>
              </w:rPr>
            </w:pPr>
            <w:r w:rsidRPr="00222881">
              <w:rPr>
                <w:rFonts w:cs="Arial"/>
                <w:szCs w:val="20"/>
              </w:rPr>
              <w:t>139</w:t>
            </w:r>
          </w:p>
        </w:tc>
        <w:tc>
          <w:tcPr>
            <w:tcW w:w="2491" w:type="dxa"/>
            <w:shd w:val="clear" w:color="auto" w:fill="auto"/>
            <w:vAlign w:val="center"/>
          </w:tcPr>
          <w:p w14:paraId="7E0763E0" w14:textId="77777777" w:rsidR="00022915" w:rsidRPr="00222881" w:rsidRDefault="00022915" w:rsidP="00C53AB1">
            <w:pPr>
              <w:pStyle w:val="Tabletext0"/>
              <w:widowControl w:val="0"/>
              <w:spacing w:before="60"/>
              <w:jc w:val="center"/>
              <w:rPr>
                <w:rFonts w:cs="Arial"/>
                <w:szCs w:val="20"/>
              </w:rPr>
            </w:pPr>
            <w:r w:rsidRPr="00222881">
              <w:rPr>
                <w:rFonts w:cs="Arial"/>
                <w:szCs w:val="20"/>
              </w:rPr>
              <w:t>1.32</w:t>
            </w:r>
          </w:p>
        </w:tc>
      </w:tr>
    </w:tbl>
    <w:p w14:paraId="27861DF6" w14:textId="77777777" w:rsidR="00022915" w:rsidRPr="00222881" w:rsidRDefault="00022915" w:rsidP="00022915">
      <w:pPr>
        <w:pStyle w:val="Heading3"/>
      </w:pPr>
      <w:bookmarkStart w:id="134" w:name="_Toc506552658"/>
      <w:r w:rsidRPr="00222881">
        <w:t>Willingness to pay to avoid litter and increase recycling</w:t>
      </w:r>
      <w:bookmarkEnd w:id="134"/>
    </w:p>
    <w:p w14:paraId="5F383DCF" w14:textId="77777777" w:rsidR="00022915" w:rsidRPr="00222881" w:rsidRDefault="00022915" w:rsidP="00022915">
      <w:r w:rsidRPr="00222881">
        <w:t>Some non-market benefits of recycling and litter reduction may not have been fully captured in the cost-benefit analysis.  Non-market benefits will include environmental, amenity and existence values.</w:t>
      </w:r>
    </w:p>
    <w:p w14:paraId="0BA80711" w14:textId="77777777" w:rsidR="00022915" w:rsidRPr="00222881" w:rsidRDefault="00022915" w:rsidP="00022915">
      <w:r w:rsidRPr="00222881">
        <w:t>Two ‘willingness to pay’ measures were considered in the analysis of the CDS:</w:t>
      </w:r>
      <w:r w:rsidRPr="00222881">
        <w:rPr>
          <w:rStyle w:val="FootnoteReference"/>
        </w:rPr>
        <w:footnoteReference w:id="41"/>
      </w:r>
    </w:p>
    <w:p w14:paraId="4823DAFC" w14:textId="77777777" w:rsidR="00022915" w:rsidRPr="00222881" w:rsidRDefault="00022915" w:rsidP="00022915">
      <w:pPr>
        <w:pStyle w:val="Bullets1stindent"/>
        <w:spacing w:line="240" w:lineRule="auto"/>
      </w:pPr>
      <w:r w:rsidRPr="00222881">
        <w:t>Willingness to pay to avoid litter is assumed to be $21,947 per tonne in the metropolitan area and $1,822 per tonne in regional and remote areas, based on stated preference valuation.</w:t>
      </w:r>
    </w:p>
    <w:p w14:paraId="2294DE26" w14:textId="77777777" w:rsidR="00022915" w:rsidRPr="00222881" w:rsidRDefault="00022915" w:rsidP="00022915">
      <w:pPr>
        <w:pStyle w:val="Bullets1stindent"/>
        <w:spacing w:line="240" w:lineRule="auto"/>
      </w:pPr>
      <w:r w:rsidRPr="00222881">
        <w:t>Willingness to pay for recycling ($717 per tonne), based on stated preference valuation, has also been included in the sensitivity tests (</w:t>
      </w:r>
      <w:r w:rsidRPr="00222881">
        <w:fldChar w:fldCharType="begin"/>
      </w:r>
      <w:r w:rsidRPr="00222881">
        <w:instrText xml:space="preserve"> REF _Ref506463231 \h  \* MERGEFORMAT </w:instrText>
      </w:r>
      <w:r w:rsidRPr="00222881">
        <w:fldChar w:fldCharType="separate"/>
      </w:r>
      <w:r w:rsidRPr="00222881">
        <w:t xml:space="preserve">Table </w:t>
      </w:r>
      <w:r>
        <w:rPr>
          <w:noProof/>
        </w:rPr>
        <w:t>11</w:t>
      </w:r>
      <w:r w:rsidRPr="00222881">
        <w:fldChar w:fldCharType="end"/>
      </w:r>
      <w:r w:rsidRPr="00222881">
        <w:t>).</w:t>
      </w:r>
    </w:p>
    <w:p w14:paraId="441B2129" w14:textId="77777777" w:rsidR="00022915" w:rsidRPr="00222881" w:rsidRDefault="00022915" w:rsidP="00022915">
      <w:r w:rsidRPr="00222881">
        <w:t>It appears likely that there are overlaps between the community’s willingness to pay for recycling and its willingness to pay to avoid litter.  For this reason, we consider these benefits separately and do not believe they should be added.  When applying the willingness to pay for recycling, the willingness to pay to avoid litter and the landfill externalities are excluded (to avoid any double counting of benefits that may have already been included in recycling willingness to pay estimates).</w:t>
      </w:r>
    </w:p>
    <w:p w14:paraId="5FD3F510" w14:textId="77777777" w:rsidR="00022915" w:rsidRPr="00222881" w:rsidRDefault="00022915" w:rsidP="00022915">
      <w:r w:rsidRPr="00222881">
        <w:t xml:space="preserve">Based on the analysis, the willingness to pay value for avoiding litter and the willingness to pay value for recycling are key inputs for the cost-benefit analysis and affect whether the analysis produces a positive net present value and a benefit-cost ratio greater than 1.0.  Further discussion of the willingness to pay is provided in the Appendix to this report. </w:t>
      </w:r>
    </w:p>
    <w:p w14:paraId="616D587A" w14:textId="77777777" w:rsidR="00022915" w:rsidRPr="00222881" w:rsidRDefault="00022915" w:rsidP="00022915">
      <w:r w:rsidRPr="00222881">
        <w:t xml:space="preserve">These results need to be interpreted with caution because an assessment of the willingness to pay has not been undertaken in this analysis and the projects referenced to identify willingness to pay estimates are subject to qualifications.  </w:t>
      </w:r>
    </w:p>
    <w:p w14:paraId="3AE82F37" w14:textId="77777777" w:rsidR="00022915" w:rsidRPr="00222881" w:rsidRDefault="00022915" w:rsidP="00022915">
      <w:r w:rsidRPr="00222881">
        <w:t>The high willingness to pay estimate ($21,947 per tonne) is consistent with the estimates used in the New South Wales and Australian Capital Territory RISs and is used in the central case of the cost-benefit analysis for that reason.</w:t>
      </w:r>
    </w:p>
    <w:p w14:paraId="78682439" w14:textId="77777777" w:rsidR="00022915" w:rsidRPr="00222881" w:rsidRDefault="00022915" w:rsidP="00022915">
      <w:pPr>
        <w:pStyle w:val="Caption"/>
      </w:pPr>
      <w:bookmarkStart w:id="135" w:name="_Ref506463231"/>
      <w:bookmarkStart w:id="136" w:name="_Toc500154283"/>
      <w:bookmarkStart w:id="137" w:name="_Toc506552694"/>
      <w:bookmarkStart w:id="138" w:name="_Toc10031220"/>
      <w:r w:rsidRPr="00222881">
        <w:t xml:space="preserve">Table </w:t>
      </w:r>
      <w:r w:rsidR="00CF34D3">
        <w:rPr>
          <w:noProof/>
        </w:rPr>
        <w:fldChar w:fldCharType="begin"/>
      </w:r>
      <w:r w:rsidR="00CF34D3">
        <w:rPr>
          <w:noProof/>
        </w:rPr>
        <w:instrText xml:space="preserve"> SEQ Table \* ARABIC </w:instrText>
      </w:r>
      <w:r w:rsidR="00CF34D3">
        <w:rPr>
          <w:noProof/>
        </w:rPr>
        <w:fldChar w:fldCharType="separate"/>
      </w:r>
      <w:r>
        <w:rPr>
          <w:noProof/>
        </w:rPr>
        <w:t>11</w:t>
      </w:r>
      <w:r w:rsidR="00CF34D3">
        <w:rPr>
          <w:noProof/>
        </w:rPr>
        <w:fldChar w:fldCharType="end"/>
      </w:r>
      <w:bookmarkEnd w:id="135"/>
      <w:r w:rsidRPr="00222881">
        <w:t>: Willingness to pay sensitivity test</w:t>
      </w:r>
      <w:bookmarkEnd w:id="136"/>
      <w:bookmarkEnd w:id="137"/>
      <w:bookmarkEnd w:id="13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illingness to pay  sensitivity test"/>
        <w:tblDescription w:val="Results of the cost benefit analysis using different values for consumer willingness to pay  (avoidance of litter compared to increased recycling)."/>
      </w:tblPr>
      <w:tblGrid>
        <w:gridCol w:w="4626"/>
        <w:gridCol w:w="2223"/>
        <w:gridCol w:w="2223"/>
      </w:tblGrid>
      <w:tr w:rsidR="00022915" w:rsidRPr="00222881" w14:paraId="5F1C8D9A" w14:textId="77777777" w:rsidTr="00C53AB1">
        <w:trPr>
          <w:cantSplit/>
        </w:trPr>
        <w:tc>
          <w:tcPr>
            <w:tcW w:w="4626" w:type="dxa"/>
            <w:shd w:val="clear" w:color="auto" w:fill="D9D9D9" w:themeFill="background1" w:themeFillShade="D9"/>
            <w:vAlign w:val="center"/>
          </w:tcPr>
          <w:p w14:paraId="4E429757" w14:textId="77777777" w:rsidR="00022915" w:rsidRPr="00222881" w:rsidRDefault="00022915" w:rsidP="00C53AB1">
            <w:pPr>
              <w:pStyle w:val="Tableheading0"/>
            </w:pPr>
            <w:r w:rsidRPr="00222881">
              <w:t>Variable – willingness to pay</w:t>
            </w:r>
          </w:p>
        </w:tc>
        <w:tc>
          <w:tcPr>
            <w:tcW w:w="2223" w:type="dxa"/>
            <w:shd w:val="clear" w:color="auto" w:fill="D9D9D9" w:themeFill="background1" w:themeFillShade="D9"/>
            <w:vAlign w:val="center"/>
          </w:tcPr>
          <w:p w14:paraId="6BB4CF87" w14:textId="77777777" w:rsidR="00022915" w:rsidRPr="00222881" w:rsidRDefault="00022915" w:rsidP="00C53AB1">
            <w:pPr>
              <w:pStyle w:val="Tableheading0"/>
            </w:pPr>
            <w:r w:rsidRPr="00222881">
              <w:t xml:space="preserve">Net present value </w:t>
            </w:r>
            <w:r w:rsidRPr="00222881">
              <w:br/>
              <w:t>($ million)</w:t>
            </w:r>
          </w:p>
        </w:tc>
        <w:tc>
          <w:tcPr>
            <w:tcW w:w="2223" w:type="dxa"/>
            <w:shd w:val="clear" w:color="auto" w:fill="D9D9D9" w:themeFill="background1" w:themeFillShade="D9"/>
            <w:vAlign w:val="center"/>
          </w:tcPr>
          <w:p w14:paraId="128A4F9A" w14:textId="77777777" w:rsidR="00022915" w:rsidRPr="00222881" w:rsidRDefault="00022915" w:rsidP="00C53AB1">
            <w:pPr>
              <w:pStyle w:val="Tableheading0"/>
            </w:pPr>
            <w:r w:rsidRPr="00222881">
              <w:t>Benefit-cost ratio</w:t>
            </w:r>
          </w:p>
        </w:tc>
      </w:tr>
      <w:tr w:rsidR="00022915" w:rsidRPr="00222881" w14:paraId="002D1356" w14:textId="77777777" w:rsidTr="00C53AB1">
        <w:trPr>
          <w:cantSplit/>
        </w:trPr>
        <w:tc>
          <w:tcPr>
            <w:tcW w:w="4626" w:type="dxa"/>
            <w:shd w:val="clear" w:color="auto" w:fill="auto"/>
            <w:vAlign w:val="center"/>
          </w:tcPr>
          <w:p w14:paraId="657131CC" w14:textId="77777777" w:rsidR="00022915" w:rsidRPr="00222881" w:rsidRDefault="00022915" w:rsidP="00C53AB1">
            <w:pPr>
              <w:pStyle w:val="Tabletext0"/>
              <w:keepNext/>
              <w:widowControl w:val="0"/>
              <w:spacing w:before="60"/>
              <w:rPr>
                <w:rFonts w:cs="Arial"/>
                <w:szCs w:val="20"/>
              </w:rPr>
            </w:pPr>
            <w:r w:rsidRPr="00222881">
              <w:rPr>
                <w:rFonts w:cs="Arial"/>
                <w:szCs w:val="20"/>
              </w:rPr>
              <w:t>To avoid litter: $21,947</w:t>
            </w:r>
          </w:p>
        </w:tc>
        <w:tc>
          <w:tcPr>
            <w:tcW w:w="2223" w:type="dxa"/>
            <w:shd w:val="clear" w:color="auto" w:fill="auto"/>
            <w:vAlign w:val="center"/>
          </w:tcPr>
          <w:p w14:paraId="42904BAE" w14:textId="77777777" w:rsidR="00022915" w:rsidRPr="00222881" w:rsidRDefault="00022915" w:rsidP="00C53AB1">
            <w:pPr>
              <w:pStyle w:val="Tabletext0"/>
              <w:keepNext/>
              <w:widowControl w:val="0"/>
              <w:spacing w:before="60"/>
              <w:ind w:right="-54"/>
              <w:jc w:val="center"/>
              <w:rPr>
                <w:rFonts w:cs="Arial"/>
                <w:szCs w:val="20"/>
              </w:rPr>
            </w:pPr>
            <w:r w:rsidRPr="00222881">
              <w:rPr>
                <w:rFonts w:cs="Arial"/>
                <w:szCs w:val="20"/>
              </w:rPr>
              <w:t>128</w:t>
            </w:r>
          </w:p>
        </w:tc>
        <w:tc>
          <w:tcPr>
            <w:tcW w:w="2223" w:type="dxa"/>
            <w:shd w:val="clear" w:color="auto" w:fill="auto"/>
            <w:vAlign w:val="center"/>
          </w:tcPr>
          <w:p w14:paraId="34B4339E" w14:textId="77777777" w:rsidR="00022915" w:rsidRPr="00222881" w:rsidRDefault="00022915" w:rsidP="00C53AB1">
            <w:pPr>
              <w:pStyle w:val="Tabletext0"/>
              <w:keepNext/>
              <w:widowControl w:val="0"/>
              <w:spacing w:before="60"/>
              <w:jc w:val="center"/>
              <w:rPr>
                <w:rFonts w:cs="Arial"/>
                <w:szCs w:val="20"/>
              </w:rPr>
            </w:pPr>
            <w:r w:rsidRPr="00222881">
              <w:rPr>
                <w:rFonts w:cs="Arial"/>
                <w:szCs w:val="20"/>
              </w:rPr>
              <w:t>1.29</w:t>
            </w:r>
          </w:p>
        </w:tc>
      </w:tr>
      <w:tr w:rsidR="00022915" w:rsidRPr="00222881" w14:paraId="48D895C2" w14:textId="77777777" w:rsidTr="00C53AB1">
        <w:trPr>
          <w:cantSplit/>
        </w:trPr>
        <w:tc>
          <w:tcPr>
            <w:tcW w:w="4626" w:type="dxa"/>
            <w:shd w:val="clear" w:color="auto" w:fill="auto"/>
            <w:vAlign w:val="center"/>
          </w:tcPr>
          <w:p w14:paraId="5C4B8309" w14:textId="77777777" w:rsidR="00022915" w:rsidRPr="00222881" w:rsidRDefault="00022915" w:rsidP="00C53AB1">
            <w:pPr>
              <w:pStyle w:val="Tabletext0"/>
              <w:keepNext/>
              <w:widowControl w:val="0"/>
              <w:spacing w:before="60"/>
              <w:rPr>
                <w:rFonts w:cs="Arial"/>
                <w:szCs w:val="20"/>
              </w:rPr>
            </w:pPr>
            <w:r w:rsidRPr="00222881">
              <w:rPr>
                <w:rFonts w:cs="Arial"/>
                <w:szCs w:val="20"/>
              </w:rPr>
              <w:t xml:space="preserve">For recycling: $717 </w:t>
            </w:r>
            <w:r w:rsidRPr="00222881">
              <w:rPr>
                <w:rFonts w:cs="Arial"/>
                <w:sz w:val="18"/>
                <w:szCs w:val="20"/>
              </w:rPr>
              <w:t>(alternative scenario)</w:t>
            </w:r>
          </w:p>
        </w:tc>
        <w:tc>
          <w:tcPr>
            <w:tcW w:w="2223" w:type="dxa"/>
            <w:shd w:val="clear" w:color="auto" w:fill="auto"/>
            <w:vAlign w:val="center"/>
          </w:tcPr>
          <w:p w14:paraId="57EEE455" w14:textId="77777777" w:rsidR="00022915" w:rsidRPr="00222881" w:rsidRDefault="00022915" w:rsidP="00C53AB1">
            <w:pPr>
              <w:pStyle w:val="Tabletext0"/>
              <w:keepNext/>
              <w:widowControl w:val="0"/>
              <w:spacing w:before="60"/>
              <w:ind w:right="-54"/>
              <w:jc w:val="center"/>
              <w:rPr>
                <w:rFonts w:cs="Arial"/>
                <w:szCs w:val="20"/>
              </w:rPr>
            </w:pPr>
            <w:r w:rsidRPr="00222881">
              <w:rPr>
                <w:rFonts w:cs="Arial"/>
                <w:szCs w:val="20"/>
              </w:rPr>
              <w:t>-260</w:t>
            </w:r>
          </w:p>
        </w:tc>
        <w:tc>
          <w:tcPr>
            <w:tcW w:w="2223" w:type="dxa"/>
            <w:shd w:val="clear" w:color="auto" w:fill="auto"/>
            <w:vAlign w:val="center"/>
          </w:tcPr>
          <w:p w14:paraId="02BA86F8" w14:textId="77777777" w:rsidR="00022915" w:rsidRPr="00222881" w:rsidRDefault="00022915" w:rsidP="00C53AB1">
            <w:pPr>
              <w:pStyle w:val="Tabletext0"/>
              <w:keepNext/>
              <w:widowControl w:val="0"/>
              <w:spacing w:before="60"/>
              <w:jc w:val="center"/>
              <w:rPr>
                <w:rFonts w:cs="Arial"/>
                <w:szCs w:val="20"/>
              </w:rPr>
            </w:pPr>
            <w:r w:rsidRPr="00222881">
              <w:rPr>
                <w:rFonts w:cs="Arial"/>
                <w:szCs w:val="20"/>
              </w:rPr>
              <w:t>0.41</w:t>
            </w:r>
          </w:p>
        </w:tc>
      </w:tr>
    </w:tbl>
    <w:p w14:paraId="37F62020" w14:textId="77777777" w:rsidR="00022915" w:rsidRPr="00222881" w:rsidRDefault="00022915" w:rsidP="00022915">
      <w:r w:rsidRPr="00222881">
        <w:t>The value for willingness to pay to avoid litter is used in the central estimate of the cost-benefit analysis. This value was selected from well-conducted studies in the literature.  However, it does not necessarily reflect the willingness to pay to avoid marine and/or riverine litter.</w:t>
      </w:r>
    </w:p>
    <w:p w14:paraId="783B44A3" w14:textId="77777777" w:rsidR="00022915" w:rsidRPr="00222881" w:rsidRDefault="00022915" w:rsidP="00022915">
      <w:pPr>
        <w:pStyle w:val="Heading3"/>
      </w:pPr>
      <w:bookmarkStart w:id="139" w:name="_Toc506552659"/>
      <w:r w:rsidRPr="00222881">
        <w:t>Willingness to pay threshold analysis</w:t>
      </w:r>
      <w:bookmarkEnd w:id="139"/>
    </w:p>
    <w:p w14:paraId="14C51954" w14:textId="77777777" w:rsidR="00022915" w:rsidRPr="00222881" w:rsidRDefault="00022915" w:rsidP="00022915">
      <w:r w:rsidRPr="00222881">
        <w:t>Threshold analysis was also undertaken on the values for the willingness to pay to avoid litter. The analysis identified the value at which the present values of the costs and the benefits are equal. It found that the willingness to pay to avoid litter would need to be greater than $15,485 per tonne in metropolitan Western Australia to achieve a net benefit.</w:t>
      </w:r>
    </w:p>
    <w:p w14:paraId="68696595" w14:textId="77777777" w:rsidR="00022915" w:rsidRPr="00222881" w:rsidRDefault="00022915" w:rsidP="00022915">
      <w:pPr>
        <w:pStyle w:val="Heading3"/>
      </w:pPr>
      <w:bookmarkStart w:id="140" w:name="_Toc506552660"/>
      <w:r w:rsidRPr="00222881">
        <w:t>Propensity to litter</w:t>
      </w:r>
      <w:bookmarkEnd w:id="140"/>
    </w:p>
    <w:p w14:paraId="2E6AFC91" w14:textId="77777777" w:rsidR="00022915" w:rsidRPr="00222881" w:rsidRDefault="00022915" w:rsidP="00022915">
      <w:r w:rsidRPr="00222881">
        <w:t>There is some uncertainty about the estimates for propensity to litter, so sensitivity tests (+/</w:t>
      </w:r>
      <w:r w:rsidRPr="00222881">
        <w:noBreakHyphen/>
        <w:t>10%) were performed on this assumption (</w:t>
      </w:r>
      <w:r w:rsidRPr="00222881">
        <w:fldChar w:fldCharType="begin"/>
      </w:r>
      <w:r w:rsidRPr="00222881">
        <w:instrText xml:space="preserve"> REF _Ref499722426 \h  \* MERGEFORMAT </w:instrText>
      </w:r>
      <w:r w:rsidRPr="00222881">
        <w:fldChar w:fldCharType="separate"/>
      </w:r>
      <w:r w:rsidRPr="00222881">
        <w:t xml:space="preserve">Table </w:t>
      </w:r>
      <w:r>
        <w:rPr>
          <w:noProof/>
        </w:rPr>
        <w:t>12</w:t>
      </w:r>
      <w:r w:rsidRPr="00222881">
        <w:fldChar w:fldCharType="end"/>
      </w:r>
      <w:r w:rsidRPr="00222881">
        <w:t>).</w:t>
      </w:r>
    </w:p>
    <w:p w14:paraId="59680EAE" w14:textId="77777777" w:rsidR="00022915" w:rsidRPr="00222881" w:rsidRDefault="00022915" w:rsidP="00022915">
      <w:r w:rsidRPr="00222881">
        <w:t>This analysis reveals that changing the propensity to litter by 10 per cent changes the net present value result by over 30 per cent, so the result is quite sensitive to changes in this assumption.</w:t>
      </w:r>
    </w:p>
    <w:p w14:paraId="08081869" w14:textId="77777777" w:rsidR="00022915" w:rsidRPr="00222881" w:rsidRDefault="00022915" w:rsidP="00022915">
      <w:pPr>
        <w:pStyle w:val="Caption"/>
      </w:pPr>
      <w:bookmarkStart w:id="141" w:name="_Ref499722426"/>
      <w:bookmarkStart w:id="142" w:name="_Toc500154284"/>
      <w:bookmarkStart w:id="143" w:name="_Toc506552695"/>
      <w:bookmarkStart w:id="144" w:name="_Toc10031221"/>
      <w:r w:rsidRPr="00222881">
        <w:t xml:space="preserve">Table </w:t>
      </w:r>
      <w:r w:rsidR="00CF34D3">
        <w:rPr>
          <w:noProof/>
        </w:rPr>
        <w:fldChar w:fldCharType="begin"/>
      </w:r>
      <w:r w:rsidR="00CF34D3">
        <w:rPr>
          <w:noProof/>
        </w:rPr>
        <w:instrText xml:space="preserve"> SEQ Table \* ARABIC </w:instrText>
      </w:r>
      <w:r w:rsidR="00CF34D3">
        <w:rPr>
          <w:noProof/>
        </w:rPr>
        <w:fldChar w:fldCharType="separate"/>
      </w:r>
      <w:r>
        <w:rPr>
          <w:noProof/>
        </w:rPr>
        <w:t>12</w:t>
      </w:r>
      <w:r w:rsidR="00CF34D3">
        <w:rPr>
          <w:noProof/>
        </w:rPr>
        <w:fldChar w:fldCharType="end"/>
      </w:r>
      <w:bookmarkEnd w:id="141"/>
      <w:r w:rsidRPr="00222881">
        <w:t>: Propensity to litter sensitivity test</w:t>
      </w:r>
      <w:bookmarkEnd w:id="142"/>
      <w:bookmarkEnd w:id="143"/>
      <w:bookmarkEnd w:id="14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opensity to litter sensitivity test"/>
        <w:tblDescription w:val="Results of the cost benefit analysis using different assumptions around propensity to litter."/>
      </w:tblPr>
      <w:tblGrid>
        <w:gridCol w:w="4625"/>
        <w:gridCol w:w="2313"/>
        <w:gridCol w:w="2134"/>
      </w:tblGrid>
      <w:tr w:rsidR="00022915" w:rsidRPr="00222881" w14:paraId="6948CB79" w14:textId="77777777" w:rsidTr="00C53AB1">
        <w:trPr>
          <w:tblHeader/>
        </w:trPr>
        <w:tc>
          <w:tcPr>
            <w:tcW w:w="4625" w:type="dxa"/>
            <w:shd w:val="clear" w:color="auto" w:fill="D9D9D9" w:themeFill="background1" w:themeFillShade="D9"/>
            <w:vAlign w:val="center"/>
          </w:tcPr>
          <w:p w14:paraId="399D168A" w14:textId="77777777" w:rsidR="00022915" w:rsidRPr="00222881" w:rsidRDefault="00022915" w:rsidP="00C53AB1">
            <w:pPr>
              <w:pStyle w:val="Tableheading0"/>
            </w:pPr>
            <w:r w:rsidRPr="00222881">
              <w:t xml:space="preserve">Variable </w:t>
            </w:r>
            <w:r w:rsidRPr="00222881">
              <w:noBreakHyphen/>
              <w:t> propensity to litter</w:t>
            </w:r>
          </w:p>
        </w:tc>
        <w:tc>
          <w:tcPr>
            <w:tcW w:w="2313" w:type="dxa"/>
            <w:shd w:val="clear" w:color="auto" w:fill="D9D9D9" w:themeFill="background1" w:themeFillShade="D9"/>
            <w:vAlign w:val="center"/>
          </w:tcPr>
          <w:p w14:paraId="5A766DEB" w14:textId="77777777" w:rsidR="00022915" w:rsidRPr="00222881" w:rsidRDefault="00022915" w:rsidP="00C53AB1">
            <w:pPr>
              <w:pStyle w:val="Tableheading0"/>
            </w:pPr>
            <w:r w:rsidRPr="00222881">
              <w:t xml:space="preserve">Net present value </w:t>
            </w:r>
            <w:r w:rsidRPr="00222881">
              <w:br/>
              <w:t>($ million)</w:t>
            </w:r>
          </w:p>
        </w:tc>
        <w:tc>
          <w:tcPr>
            <w:tcW w:w="2134" w:type="dxa"/>
            <w:shd w:val="clear" w:color="auto" w:fill="D9D9D9" w:themeFill="background1" w:themeFillShade="D9"/>
            <w:vAlign w:val="center"/>
          </w:tcPr>
          <w:p w14:paraId="0C63BCA5" w14:textId="77777777" w:rsidR="00022915" w:rsidRPr="00222881" w:rsidRDefault="00022915" w:rsidP="00C53AB1">
            <w:pPr>
              <w:pStyle w:val="Tableheading0"/>
            </w:pPr>
            <w:r w:rsidRPr="00222881">
              <w:t>Benefit-cost ratio</w:t>
            </w:r>
          </w:p>
        </w:tc>
      </w:tr>
      <w:tr w:rsidR="00022915" w:rsidRPr="00222881" w14:paraId="7F987C0D" w14:textId="77777777" w:rsidTr="00C53AB1">
        <w:tc>
          <w:tcPr>
            <w:tcW w:w="4625" w:type="dxa"/>
            <w:shd w:val="clear" w:color="auto" w:fill="auto"/>
            <w:vAlign w:val="center"/>
          </w:tcPr>
          <w:p w14:paraId="28B2D061" w14:textId="77777777" w:rsidR="00022915" w:rsidRPr="00222881" w:rsidRDefault="00022915" w:rsidP="00C53AB1">
            <w:pPr>
              <w:pStyle w:val="Tabletext0"/>
              <w:keepNext/>
              <w:widowControl w:val="0"/>
              <w:spacing w:before="60"/>
              <w:rPr>
                <w:rFonts w:cs="Arial"/>
                <w:szCs w:val="20"/>
              </w:rPr>
            </w:pPr>
            <w:r w:rsidRPr="00222881">
              <w:rPr>
                <w:rFonts w:cs="Arial"/>
                <w:szCs w:val="20"/>
              </w:rPr>
              <w:t xml:space="preserve">Propensity to litter </w:t>
            </w:r>
          </w:p>
        </w:tc>
        <w:tc>
          <w:tcPr>
            <w:tcW w:w="2313" w:type="dxa"/>
            <w:shd w:val="clear" w:color="auto" w:fill="auto"/>
            <w:vAlign w:val="center"/>
          </w:tcPr>
          <w:p w14:paraId="6EF0D088" w14:textId="77777777" w:rsidR="00022915" w:rsidRPr="00222881" w:rsidRDefault="00022915" w:rsidP="00C53AB1">
            <w:pPr>
              <w:pStyle w:val="Tabletext0"/>
              <w:keepNext/>
              <w:widowControl w:val="0"/>
              <w:spacing w:before="60"/>
              <w:jc w:val="center"/>
              <w:rPr>
                <w:rFonts w:cs="Arial"/>
                <w:szCs w:val="20"/>
              </w:rPr>
            </w:pPr>
            <w:r w:rsidRPr="00222881">
              <w:rPr>
                <w:rFonts w:cs="Arial"/>
                <w:szCs w:val="20"/>
              </w:rPr>
              <w:t>128</w:t>
            </w:r>
          </w:p>
        </w:tc>
        <w:tc>
          <w:tcPr>
            <w:tcW w:w="2134" w:type="dxa"/>
            <w:shd w:val="clear" w:color="auto" w:fill="auto"/>
            <w:vAlign w:val="center"/>
          </w:tcPr>
          <w:p w14:paraId="277CF38F" w14:textId="77777777" w:rsidR="00022915" w:rsidRPr="00222881" w:rsidRDefault="00022915" w:rsidP="00C53AB1">
            <w:pPr>
              <w:pStyle w:val="Tabletext0"/>
              <w:keepNext/>
              <w:widowControl w:val="0"/>
              <w:spacing w:before="60"/>
              <w:jc w:val="center"/>
              <w:rPr>
                <w:rFonts w:cs="Arial"/>
                <w:szCs w:val="20"/>
              </w:rPr>
            </w:pPr>
            <w:r w:rsidRPr="00222881">
              <w:rPr>
                <w:rFonts w:cs="Arial"/>
                <w:szCs w:val="20"/>
              </w:rPr>
              <w:t>1.29</w:t>
            </w:r>
          </w:p>
        </w:tc>
      </w:tr>
      <w:tr w:rsidR="00022915" w:rsidRPr="00222881" w14:paraId="6281D583" w14:textId="77777777" w:rsidTr="00C53AB1">
        <w:tc>
          <w:tcPr>
            <w:tcW w:w="4625" w:type="dxa"/>
            <w:shd w:val="clear" w:color="auto" w:fill="auto"/>
            <w:vAlign w:val="center"/>
          </w:tcPr>
          <w:p w14:paraId="17DC0D64" w14:textId="77777777" w:rsidR="00022915" w:rsidRPr="00222881" w:rsidRDefault="00022915" w:rsidP="00C53AB1">
            <w:pPr>
              <w:pStyle w:val="Tabletext0"/>
              <w:keepNext/>
              <w:widowControl w:val="0"/>
              <w:spacing w:before="60"/>
              <w:rPr>
                <w:rFonts w:cs="Arial"/>
                <w:szCs w:val="20"/>
              </w:rPr>
            </w:pPr>
            <w:r w:rsidRPr="00222881">
              <w:rPr>
                <w:rFonts w:cs="Arial"/>
                <w:szCs w:val="20"/>
              </w:rPr>
              <w:t>+10% (sensitivity)</w:t>
            </w:r>
          </w:p>
        </w:tc>
        <w:tc>
          <w:tcPr>
            <w:tcW w:w="2313" w:type="dxa"/>
            <w:shd w:val="clear" w:color="auto" w:fill="auto"/>
            <w:vAlign w:val="center"/>
          </w:tcPr>
          <w:p w14:paraId="6FFA62CF" w14:textId="77777777" w:rsidR="00022915" w:rsidRPr="00222881" w:rsidRDefault="00022915" w:rsidP="00C53AB1">
            <w:pPr>
              <w:pStyle w:val="Tabletext0"/>
              <w:keepNext/>
              <w:widowControl w:val="0"/>
              <w:spacing w:before="60"/>
              <w:jc w:val="center"/>
              <w:rPr>
                <w:rFonts w:cs="Arial"/>
                <w:szCs w:val="20"/>
              </w:rPr>
            </w:pPr>
            <w:r w:rsidRPr="00222881">
              <w:rPr>
                <w:rFonts w:cs="Arial"/>
                <w:szCs w:val="20"/>
              </w:rPr>
              <w:t>172</w:t>
            </w:r>
          </w:p>
        </w:tc>
        <w:tc>
          <w:tcPr>
            <w:tcW w:w="2134" w:type="dxa"/>
            <w:shd w:val="clear" w:color="auto" w:fill="auto"/>
            <w:vAlign w:val="center"/>
          </w:tcPr>
          <w:p w14:paraId="73AD82DA" w14:textId="77777777" w:rsidR="00022915" w:rsidRPr="00222881" w:rsidRDefault="00022915" w:rsidP="00C53AB1">
            <w:pPr>
              <w:pStyle w:val="Tabletext0"/>
              <w:keepNext/>
              <w:widowControl w:val="0"/>
              <w:spacing w:before="60"/>
              <w:jc w:val="center"/>
              <w:rPr>
                <w:rFonts w:cs="Arial"/>
                <w:szCs w:val="20"/>
              </w:rPr>
            </w:pPr>
            <w:r w:rsidRPr="00222881">
              <w:rPr>
                <w:rFonts w:cs="Arial"/>
                <w:szCs w:val="20"/>
              </w:rPr>
              <w:t>1.39</w:t>
            </w:r>
          </w:p>
        </w:tc>
      </w:tr>
      <w:tr w:rsidR="00022915" w:rsidRPr="00222881" w14:paraId="458696F2" w14:textId="77777777" w:rsidTr="00C53AB1">
        <w:tc>
          <w:tcPr>
            <w:tcW w:w="4625" w:type="dxa"/>
            <w:shd w:val="clear" w:color="auto" w:fill="auto"/>
            <w:vAlign w:val="center"/>
          </w:tcPr>
          <w:p w14:paraId="29E8E738" w14:textId="77777777" w:rsidR="00022915" w:rsidRPr="00222881" w:rsidRDefault="00022915" w:rsidP="00C53AB1">
            <w:pPr>
              <w:pStyle w:val="Tabletext0"/>
              <w:widowControl w:val="0"/>
              <w:spacing w:before="60"/>
              <w:rPr>
                <w:rFonts w:cs="Arial"/>
                <w:szCs w:val="20"/>
              </w:rPr>
            </w:pPr>
            <w:r w:rsidRPr="00222881">
              <w:rPr>
                <w:rFonts w:cs="Arial"/>
                <w:szCs w:val="20"/>
              </w:rPr>
              <w:t>–10% (sensitivity)</w:t>
            </w:r>
          </w:p>
        </w:tc>
        <w:tc>
          <w:tcPr>
            <w:tcW w:w="2313" w:type="dxa"/>
            <w:shd w:val="clear" w:color="auto" w:fill="auto"/>
            <w:vAlign w:val="center"/>
          </w:tcPr>
          <w:p w14:paraId="66FB2702" w14:textId="77777777" w:rsidR="00022915" w:rsidRPr="00222881" w:rsidRDefault="00022915" w:rsidP="00C53AB1">
            <w:pPr>
              <w:pStyle w:val="Tabletext0"/>
              <w:widowControl w:val="0"/>
              <w:spacing w:before="60"/>
              <w:jc w:val="center"/>
              <w:rPr>
                <w:rFonts w:cs="Arial"/>
                <w:szCs w:val="20"/>
              </w:rPr>
            </w:pPr>
            <w:r w:rsidRPr="00222881">
              <w:rPr>
                <w:rFonts w:cs="Arial"/>
                <w:szCs w:val="20"/>
              </w:rPr>
              <w:t>84</w:t>
            </w:r>
          </w:p>
        </w:tc>
        <w:tc>
          <w:tcPr>
            <w:tcW w:w="2134" w:type="dxa"/>
            <w:shd w:val="clear" w:color="auto" w:fill="auto"/>
            <w:vAlign w:val="center"/>
          </w:tcPr>
          <w:p w14:paraId="4C14657F" w14:textId="77777777" w:rsidR="00022915" w:rsidRPr="00222881" w:rsidRDefault="00022915" w:rsidP="00C53AB1">
            <w:pPr>
              <w:pStyle w:val="Tabletext0"/>
              <w:widowControl w:val="0"/>
              <w:spacing w:before="60"/>
              <w:jc w:val="center"/>
              <w:rPr>
                <w:rFonts w:cs="Arial"/>
                <w:szCs w:val="20"/>
              </w:rPr>
            </w:pPr>
            <w:r w:rsidRPr="00222881">
              <w:rPr>
                <w:rFonts w:cs="Arial"/>
                <w:szCs w:val="20"/>
              </w:rPr>
              <w:t>1.19</w:t>
            </w:r>
          </w:p>
        </w:tc>
      </w:tr>
    </w:tbl>
    <w:p w14:paraId="5759ABA3" w14:textId="77777777" w:rsidR="00022915" w:rsidRPr="00222881" w:rsidRDefault="00022915" w:rsidP="00022915">
      <w:pPr>
        <w:pStyle w:val="Heading3"/>
      </w:pPr>
      <w:r w:rsidRPr="00222881">
        <w:t>Refund points</w:t>
      </w:r>
    </w:p>
    <w:p w14:paraId="261A715F" w14:textId="77777777" w:rsidR="00022915" w:rsidRPr="00222881" w:rsidRDefault="00022915" w:rsidP="00022915">
      <w:r w:rsidRPr="00222881">
        <w:t>There is also some uncertainty about the number of refund points, so sensitivity tests were performed on this assumption.  While the number of refund points do impact the benefit-cost ratio, it does not affect the decision about whether to introduce a CDS or not.</w:t>
      </w:r>
    </w:p>
    <w:p w14:paraId="5F7C053A" w14:textId="77777777" w:rsidR="00022915" w:rsidRPr="00222881" w:rsidRDefault="00022915" w:rsidP="00022915">
      <w:pPr>
        <w:pStyle w:val="Caption"/>
      </w:pPr>
      <w:bookmarkStart w:id="145" w:name="_Toc10031222"/>
      <w:r w:rsidRPr="00222881">
        <w:t xml:space="preserve">Table </w:t>
      </w:r>
      <w:r w:rsidR="00CF34D3">
        <w:rPr>
          <w:noProof/>
        </w:rPr>
        <w:fldChar w:fldCharType="begin"/>
      </w:r>
      <w:r w:rsidR="00CF34D3">
        <w:rPr>
          <w:noProof/>
        </w:rPr>
        <w:instrText xml:space="preserve"> SEQ Table \* ARABIC </w:instrText>
      </w:r>
      <w:r w:rsidR="00CF34D3">
        <w:rPr>
          <w:noProof/>
        </w:rPr>
        <w:fldChar w:fldCharType="separate"/>
      </w:r>
      <w:r>
        <w:rPr>
          <w:noProof/>
        </w:rPr>
        <w:t>13</w:t>
      </w:r>
      <w:r w:rsidR="00CF34D3">
        <w:rPr>
          <w:noProof/>
        </w:rPr>
        <w:fldChar w:fldCharType="end"/>
      </w:r>
      <w:r w:rsidRPr="00222881">
        <w:t>: Number of refund points</w:t>
      </w:r>
      <w:r w:rsidRPr="00222881">
        <w:rPr>
          <w:rStyle w:val="FootnoteReference"/>
        </w:rPr>
        <w:footnoteReference w:id="42"/>
      </w:r>
      <w:bookmarkEnd w:id="14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umbers of refund points"/>
        <w:tblDescription w:val="Results of the cost benefit analysis using different assumptions around numbers of refund points"/>
      </w:tblPr>
      <w:tblGrid>
        <w:gridCol w:w="4626"/>
        <w:gridCol w:w="2223"/>
        <w:gridCol w:w="2223"/>
      </w:tblGrid>
      <w:tr w:rsidR="00022915" w:rsidRPr="00222881" w14:paraId="26942EFD" w14:textId="77777777" w:rsidTr="00C53AB1">
        <w:trPr>
          <w:tblHeader/>
        </w:trPr>
        <w:tc>
          <w:tcPr>
            <w:tcW w:w="4626" w:type="dxa"/>
            <w:shd w:val="clear" w:color="auto" w:fill="D9D9D9" w:themeFill="background1" w:themeFillShade="D9"/>
            <w:vAlign w:val="center"/>
          </w:tcPr>
          <w:p w14:paraId="33E1795B" w14:textId="77777777" w:rsidR="00022915" w:rsidRPr="00222881" w:rsidRDefault="00022915" w:rsidP="00C53AB1">
            <w:pPr>
              <w:pStyle w:val="Tableheading0"/>
            </w:pPr>
            <w:r w:rsidRPr="00222881">
              <w:t xml:space="preserve">Variable </w:t>
            </w:r>
            <w:r w:rsidRPr="00222881">
              <w:noBreakHyphen/>
              <w:t xml:space="preserve"> number of refund points</w:t>
            </w:r>
          </w:p>
        </w:tc>
        <w:tc>
          <w:tcPr>
            <w:tcW w:w="2223" w:type="dxa"/>
            <w:shd w:val="clear" w:color="auto" w:fill="D9D9D9" w:themeFill="background1" w:themeFillShade="D9"/>
            <w:vAlign w:val="center"/>
          </w:tcPr>
          <w:p w14:paraId="6BF9787D" w14:textId="77777777" w:rsidR="00022915" w:rsidRPr="00222881" w:rsidRDefault="00022915" w:rsidP="00C53AB1">
            <w:pPr>
              <w:pStyle w:val="Tableheading0"/>
            </w:pPr>
            <w:r w:rsidRPr="00222881">
              <w:t xml:space="preserve">Net present value </w:t>
            </w:r>
            <w:r w:rsidRPr="00222881">
              <w:br/>
              <w:t>($ million)</w:t>
            </w:r>
          </w:p>
        </w:tc>
        <w:tc>
          <w:tcPr>
            <w:tcW w:w="2223" w:type="dxa"/>
            <w:shd w:val="clear" w:color="auto" w:fill="D9D9D9" w:themeFill="background1" w:themeFillShade="D9"/>
            <w:vAlign w:val="center"/>
          </w:tcPr>
          <w:p w14:paraId="5C904AD8" w14:textId="77777777" w:rsidR="00022915" w:rsidRPr="00222881" w:rsidRDefault="00022915" w:rsidP="00C53AB1">
            <w:pPr>
              <w:pStyle w:val="Tableheading0"/>
            </w:pPr>
            <w:r w:rsidRPr="00222881">
              <w:t>Benefit-cost ratio</w:t>
            </w:r>
          </w:p>
        </w:tc>
      </w:tr>
      <w:tr w:rsidR="00022915" w:rsidRPr="00222881" w14:paraId="349BC40A" w14:textId="77777777" w:rsidTr="00C53AB1">
        <w:tc>
          <w:tcPr>
            <w:tcW w:w="4626" w:type="dxa"/>
            <w:shd w:val="clear" w:color="auto" w:fill="auto"/>
            <w:vAlign w:val="center"/>
          </w:tcPr>
          <w:p w14:paraId="1DDB76AE" w14:textId="77777777" w:rsidR="00022915" w:rsidRPr="00222881" w:rsidRDefault="00022915" w:rsidP="00C53AB1">
            <w:pPr>
              <w:pStyle w:val="Tabletext0"/>
              <w:keepNext/>
              <w:widowControl w:val="0"/>
              <w:spacing w:before="60"/>
              <w:rPr>
                <w:rFonts w:cs="Arial"/>
                <w:szCs w:val="20"/>
              </w:rPr>
            </w:pPr>
            <w:r w:rsidRPr="00222881">
              <w:rPr>
                <w:rFonts w:cs="Arial"/>
                <w:szCs w:val="20"/>
              </w:rPr>
              <w:t xml:space="preserve">Number of refund points </w:t>
            </w:r>
            <w:r w:rsidRPr="00222881">
              <w:rPr>
                <w:rFonts w:cs="Arial"/>
                <w:szCs w:val="20"/>
              </w:rPr>
              <w:br/>
              <w:t>(114 full time and 115 flexible)</w:t>
            </w:r>
            <w:r w:rsidRPr="00222881">
              <w:rPr>
                <w:rStyle w:val="FootnoteReference"/>
              </w:rPr>
              <w:t>*</w:t>
            </w:r>
          </w:p>
        </w:tc>
        <w:tc>
          <w:tcPr>
            <w:tcW w:w="2223" w:type="dxa"/>
            <w:shd w:val="clear" w:color="auto" w:fill="auto"/>
            <w:vAlign w:val="center"/>
          </w:tcPr>
          <w:p w14:paraId="0764B1BA" w14:textId="77777777" w:rsidR="00022915" w:rsidRPr="00222881" w:rsidRDefault="00022915" w:rsidP="00C53AB1">
            <w:pPr>
              <w:pStyle w:val="Tabletext0"/>
              <w:keepNext/>
              <w:widowControl w:val="0"/>
              <w:spacing w:before="60"/>
              <w:jc w:val="center"/>
              <w:rPr>
                <w:rFonts w:cs="Arial"/>
                <w:szCs w:val="20"/>
              </w:rPr>
            </w:pPr>
            <w:r w:rsidRPr="00222881">
              <w:rPr>
                <w:rFonts w:cs="Arial"/>
                <w:szCs w:val="20"/>
              </w:rPr>
              <w:t>128</w:t>
            </w:r>
          </w:p>
        </w:tc>
        <w:tc>
          <w:tcPr>
            <w:tcW w:w="2223" w:type="dxa"/>
            <w:shd w:val="clear" w:color="auto" w:fill="auto"/>
            <w:vAlign w:val="center"/>
          </w:tcPr>
          <w:p w14:paraId="3D02EF1B" w14:textId="77777777" w:rsidR="00022915" w:rsidRPr="00222881" w:rsidRDefault="00022915" w:rsidP="00C53AB1">
            <w:pPr>
              <w:pStyle w:val="Tabletext0"/>
              <w:keepNext/>
              <w:widowControl w:val="0"/>
              <w:spacing w:before="60"/>
              <w:jc w:val="center"/>
              <w:rPr>
                <w:rFonts w:cs="Arial"/>
                <w:szCs w:val="20"/>
              </w:rPr>
            </w:pPr>
            <w:r w:rsidRPr="00222881">
              <w:rPr>
                <w:rFonts w:cs="Arial"/>
                <w:szCs w:val="20"/>
              </w:rPr>
              <w:t>1.29</w:t>
            </w:r>
          </w:p>
        </w:tc>
      </w:tr>
      <w:tr w:rsidR="00022915" w:rsidRPr="00222881" w14:paraId="2200B850" w14:textId="77777777" w:rsidTr="00C53AB1">
        <w:tc>
          <w:tcPr>
            <w:tcW w:w="4626" w:type="dxa"/>
            <w:shd w:val="clear" w:color="auto" w:fill="auto"/>
            <w:vAlign w:val="center"/>
          </w:tcPr>
          <w:p w14:paraId="56BC7651" w14:textId="77777777" w:rsidR="00022915" w:rsidRPr="00222881" w:rsidRDefault="00022915" w:rsidP="00C53AB1">
            <w:pPr>
              <w:pStyle w:val="Tabletext0"/>
              <w:keepNext/>
              <w:widowControl w:val="0"/>
              <w:spacing w:before="60"/>
              <w:rPr>
                <w:rFonts w:cs="Arial"/>
                <w:szCs w:val="20"/>
              </w:rPr>
            </w:pPr>
            <w:r w:rsidRPr="00222881">
              <w:rPr>
                <w:rFonts w:cs="Arial"/>
                <w:szCs w:val="20"/>
              </w:rPr>
              <w:t>+10% (sensitivity)</w:t>
            </w:r>
          </w:p>
        </w:tc>
        <w:tc>
          <w:tcPr>
            <w:tcW w:w="2223" w:type="dxa"/>
            <w:shd w:val="clear" w:color="auto" w:fill="auto"/>
            <w:vAlign w:val="center"/>
          </w:tcPr>
          <w:p w14:paraId="1713F498" w14:textId="77777777" w:rsidR="00022915" w:rsidRPr="00222881" w:rsidRDefault="00022915" w:rsidP="00C53AB1">
            <w:pPr>
              <w:pStyle w:val="Tabletext0"/>
              <w:keepNext/>
              <w:widowControl w:val="0"/>
              <w:spacing w:before="60"/>
              <w:jc w:val="center"/>
              <w:rPr>
                <w:rFonts w:cs="Arial"/>
                <w:szCs w:val="20"/>
              </w:rPr>
            </w:pPr>
            <w:r w:rsidRPr="00222881">
              <w:rPr>
                <w:rFonts w:cs="Arial"/>
                <w:szCs w:val="20"/>
              </w:rPr>
              <w:t>110</w:t>
            </w:r>
          </w:p>
        </w:tc>
        <w:tc>
          <w:tcPr>
            <w:tcW w:w="2223" w:type="dxa"/>
            <w:shd w:val="clear" w:color="auto" w:fill="auto"/>
            <w:vAlign w:val="center"/>
          </w:tcPr>
          <w:p w14:paraId="739B25A9" w14:textId="77777777" w:rsidR="00022915" w:rsidRPr="00222881" w:rsidRDefault="00022915" w:rsidP="00C53AB1">
            <w:pPr>
              <w:pStyle w:val="Tabletext0"/>
              <w:keepNext/>
              <w:widowControl w:val="0"/>
              <w:spacing w:before="60"/>
              <w:jc w:val="center"/>
              <w:rPr>
                <w:rFonts w:cs="Arial"/>
                <w:szCs w:val="20"/>
              </w:rPr>
            </w:pPr>
            <w:r w:rsidRPr="00222881">
              <w:rPr>
                <w:rFonts w:cs="Arial"/>
                <w:szCs w:val="20"/>
              </w:rPr>
              <w:t>1.24</w:t>
            </w:r>
          </w:p>
        </w:tc>
      </w:tr>
      <w:tr w:rsidR="00022915" w:rsidRPr="00222881" w14:paraId="2DF0B64C" w14:textId="77777777" w:rsidTr="00C53AB1">
        <w:tc>
          <w:tcPr>
            <w:tcW w:w="4626" w:type="dxa"/>
            <w:shd w:val="clear" w:color="auto" w:fill="auto"/>
            <w:vAlign w:val="center"/>
          </w:tcPr>
          <w:p w14:paraId="10AB888B" w14:textId="77777777" w:rsidR="00022915" w:rsidRPr="00222881" w:rsidRDefault="00022915" w:rsidP="00C53AB1">
            <w:pPr>
              <w:pStyle w:val="Tabletext0"/>
              <w:widowControl w:val="0"/>
              <w:spacing w:before="60"/>
              <w:rPr>
                <w:rFonts w:cs="Arial"/>
                <w:szCs w:val="20"/>
              </w:rPr>
            </w:pPr>
            <w:r w:rsidRPr="00222881">
              <w:rPr>
                <w:rFonts w:cs="Arial"/>
                <w:szCs w:val="20"/>
              </w:rPr>
              <w:t>–10% (sensitivity)</w:t>
            </w:r>
          </w:p>
        </w:tc>
        <w:tc>
          <w:tcPr>
            <w:tcW w:w="2223" w:type="dxa"/>
            <w:shd w:val="clear" w:color="auto" w:fill="auto"/>
            <w:vAlign w:val="center"/>
          </w:tcPr>
          <w:p w14:paraId="1FA1E7CF" w14:textId="77777777" w:rsidR="00022915" w:rsidRPr="00222881" w:rsidRDefault="00022915" w:rsidP="00C53AB1">
            <w:pPr>
              <w:pStyle w:val="Tabletext0"/>
              <w:widowControl w:val="0"/>
              <w:spacing w:before="60"/>
              <w:jc w:val="center"/>
              <w:rPr>
                <w:rFonts w:cs="Arial"/>
                <w:szCs w:val="20"/>
              </w:rPr>
            </w:pPr>
            <w:r w:rsidRPr="00222881">
              <w:rPr>
                <w:rFonts w:cs="Arial"/>
                <w:szCs w:val="20"/>
              </w:rPr>
              <w:t>146</w:t>
            </w:r>
          </w:p>
        </w:tc>
        <w:tc>
          <w:tcPr>
            <w:tcW w:w="2223" w:type="dxa"/>
            <w:shd w:val="clear" w:color="auto" w:fill="auto"/>
            <w:vAlign w:val="center"/>
          </w:tcPr>
          <w:p w14:paraId="2146A33A" w14:textId="77777777" w:rsidR="00022915" w:rsidRPr="00222881" w:rsidRDefault="00022915" w:rsidP="00C53AB1">
            <w:pPr>
              <w:pStyle w:val="Tabletext0"/>
              <w:widowControl w:val="0"/>
              <w:spacing w:before="60"/>
              <w:jc w:val="center"/>
              <w:rPr>
                <w:rFonts w:cs="Arial"/>
                <w:szCs w:val="20"/>
              </w:rPr>
            </w:pPr>
            <w:r w:rsidRPr="00222881">
              <w:rPr>
                <w:rFonts w:cs="Arial"/>
                <w:szCs w:val="20"/>
              </w:rPr>
              <w:t>1.35</w:t>
            </w:r>
          </w:p>
        </w:tc>
      </w:tr>
    </w:tbl>
    <w:p w14:paraId="068E4D5E" w14:textId="77777777" w:rsidR="00022915" w:rsidRPr="00222881" w:rsidRDefault="00022915" w:rsidP="00022915">
      <w:pPr>
        <w:pStyle w:val="DWERSource"/>
        <w:ind w:left="426" w:hanging="426"/>
      </w:pPr>
      <w:r w:rsidRPr="00222881">
        <w:t xml:space="preserve">* </w:t>
      </w:r>
      <w:r w:rsidRPr="00222881">
        <w:tab/>
        <w:t xml:space="preserve">The </w:t>
      </w:r>
      <w:r w:rsidRPr="00222881">
        <w:rPr>
          <w:i/>
        </w:rPr>
        <w:t>Minimum network standards: Refund point locations and hours of operation</w:t>
      </w:r>
      <w:r w:rsidRPr="00222881" w:rsidDel="00D01951">
        <w:t xml:space="preserve"> </w:t>
      </w:r>
      <w:r w:rsidRPr="00222881">
        <w:t xml:space="preserve">(DWER 2019) identifies a preferred option, based on a full time refund point for every 15,000 people, subject to: </w:t>
      </w:r>
    </w:p>
    <w:p w14:paraId="1C3AB4C4" w14:textId="77777777" w:rsidR="00022915" w:rsidRPr="00222881" w:rsidRDefault="00022915" w:rsidP="001F12B4">
      <w:pPr>
        <w:pStyle w:val="DWERSource"/>
        <w:numPr>
          <w:ilvl w:val="0"/>
          <w:numId w:val="27"/>
        </w:numPr>
        <w:ind w:left="709" w:hanging="284"/>
      </w:pPr>
      <w:r w:rsidRPr="00222881">
        <w:t>one full time refund point for major regional centres with a population between 10,000 and 20,000;</w:t>
      </w:r>
    </w:p>
    <w:p w14:paraId="13357DBA" w14:textId="77777777" w:rsidR="00022915" w:rsidRDefault="00022915" w:rsidP="001F12B4">
      <w:pPr>
        <w:pStyle w:val="DWERSource"/>
        <w:numPr>
          <w:ilvl w:val="0"/>
          <w:numId w:val="27"/>
        </w:numPr>
        <w:ind w:left="709" w:hanging="284"/>
      </w:pPr>
      <w:r w:rsidRPr="007F6715">
        <w:t xml:space="preserve">at least two full time refund points for major regional centres with a population over 20,000; and </w:t>
      </w:r>
    </w:p>
    <w:p w14:paraId="0624F6BB" w14:textId="77777777" w:rsidR="00022915" w:rsidRDefault="00022915" w:rsidP="001F12B4">
      <w:pPr>
        <w:pStyle w:val="DWERSource"/>
        <w:numPr>
          <w:ilvl w:val="0"/>
          <w:numId w:val="27"/>
        </w:numPr>
        <w:ind w:left="709" w:hanging="284"/>
      </w:pPr>
      <w:r>
        <w:t>for a flexible refund point</w:t>
      </w:r>
      <w:r w:rsidRPr="00CE16FD">
        <w:t xml:space="preserve"> </w:t>
      </w:r>
      <w:r>
        <w:t xml:space="preserve">for </w:t>
      </w:r>
      <w:r w:rsidRPr="007F6715">
        <w:t xml:space="preserve">a population threshold of </w:t>
      </w:r>
      <w:r>
        <w:t>500.</w:t>
      </w:r>
    </w:p>
    <w:p w14:paraId="531A1336" w14:textId="77777777" w:rsidR="00022915" w:rsidRDefault="00022915" w:rsidP="00022915">
      <w:pPr>
        <w:pStyle w:val="Heading2"/>
        <w:keepLines/>
      </w:pPr>
      <w:bookmarkStart w:id="146" w:name="_Toc506552661"/>
      <w:bookmarkStart w:id="147" w:name="_Toc9375375"/>
      <w:bookmarkStart w:id="148" w:name="_Toc500154257"/>
      <w:r w:rsidRPr="00287AB8">
        <w:t>Litter volume imp</w:t>
      </w:r>
      <w:r>
        <w:t>act</w:t>
      </w:r>
      <w:r w:rsidRPr="00287AB8">
        <w:t>s</w:t>
      </w:r>
      <w:bookmarkEnd w:id="146"/>
      <w:bookmarkEnd w:id="147"/>
    </w:p>
    <w:bookmarkEnd w:id="148"/>
    <w:p w14:paraId="2A5FF00F" w14:textId="77777777" w:rsidR="00022915" w:rsidRPr="005918C7" w:rsidRDefault="00022915" w:rsidP="00022915">
      <w:pPr>
        <w:keepNext/>
      </w:pPr>
      <w:r>
        <w:t>Impacts on litter volume are driven by several assumptions in the model.  Beverage consumption projections, changes in disposal methods and the projected impact of the CDS on litter are covered in this section.</w:t>
      </w:r>
    </w:p>
    <w:p w14:paraId="3D894970" w14:textId="77777777" w:rsidR="00022915" w:rsidRPr="00D67FDF" w:rsidRDefault="00022915" w:rsidP="00022915">
      <w:pPr>
        <w:pStyle w:val="Heading3"/>
      </w:pPr>
      <w:bookmarkStart w:id="149" w:name="_Toc506552662"/>
      <w:r w:rsidRPr="00D67FDF">
        <w:t>Beverage consumption projections</w:t>
      </w:r>
      <w:bookmarkEnd w:id="149"/>
    </w:p>
    <w:p w14:paraId="56D32D4C" w14:textId="77777777" w:rsidR="00022915" w:rsidRPr="002C6A14" w:rsidRDefault="00022915" w:rsidP="00022915">
      <w:pPr>
        <w:rPr>
          <w:highlight w:val="yellow"/>
        </w:rPr>
      </w:pPr>
      <w:r w:rsidRPr="00312531">
        <w:t xml:space="preserve">Beverage container consumption for the base </w:t>
      </w:r>
      <w:r w:rsidRPr="00CE7AE0">
        <w:t>year</w:t>
      </w:r>
      <w:r w:rsidRPr="00667DD7">
        <w:t>, 2017,</w:t>
      </w:r>
      <w:r w:rsidRPr="00CE7AE0">
        <w:t xml:space="preserve"> was</w:t>
      </w:r>
      <w:r w:rsidRPr="00312531">
        <w:t xml:space="preserve"> estimated using data </w:t>
      </w:r>
      <w:r>
        <w:t xml:space="preserve">provided by the </w:t>
      </w:r>
      <w:r w:rsidRPr="00CE7AE0">
        <w:t>beverage industry.</w:t>
      </w:r>
      <w:r w:rsidRPr="00CE7AE0">
        <w:rPr>
          <w:rStyle w:val="FootnoteReference"/>
        </w:rPr>
        <w:footnoteReference w:id="43"/>
      </w:r>
      <w:r w:rsidRPr="00CE7AE0">
        <w:t xml:space="preserve"> </w:t>
      </w:r>
      <w:r>
        <w:t xml:space="preserve"> </w:t>
      </w:r>
      <w:r w:rsidRPr="00CE7AE0">
        <w:t xml:space="preserve">The beverage container universe in 2017 consisted </w:t>
      </w:r>
      <w:r w:rsidRPr="009E2663">
        <w:t>of approximately 1,800 million containers</w:t>
      </w:r>
      <w:r>
        <w:t xml:space="preserve"> (KAB, 2016).</w:t>
      </w:r>
      <w:r w:rsidRPr="00CE7AE0">
        <w:t xml:space="preserve"> </w:t>
      </w:r>
      <w:r>
        <w:t xml:space="preserve"> </w:t>
      </w:r>
      <w:r w:rsidRPr="00CE7AE0">
        <w:t xml:space="preserve">Projections of beverage container consumption for the analysis period were developed assuming an annual growth in consumption of </w:t>
      </w:r>
      <w:r w:rsidRPr="00667DD7">
        <w:t>0.73</w:t>
      </w:r>
      <w:r>
        <w:t> per cent</w:t>
      </w:r>
      <w:r w:rsidRPr="00667DD7">
        <w:t xml:space="preserve"> over the period from 2017 to 2022, falling gradually to annual growth of 0.54</w:t>
      </w:r>
      <w:r>
        <w:t> per cent</w:t>
      </w:r>
      <w:r w:rsidRPr="00667DD7">
        <w:t xml:space="preserve"> by the 2032-2038 period</w:t>
      </w:r>
      <w:r>
        <w:t>.</w:t>
      </w:r>
      <w:r>
        <w:rPr>
          <w:rStyle w:val="FootnoteReference"/>
        </w:rPr>
        <w:footnoteReference w:id="44"/>
      </w:r>
      <w:r w:rsidRPr="00CE7AE0">
        <w:t xml:space="preserve"> </w:t>
      </w:r>
      <w:r>
        <w:t xml:space="preserve"> </w:t>
      </w:r>
      <w:r w:rsidRPr="00CE7AE0">
        <w:t>This</w:t>
      </w:r>
      <w:r w:rsidRPr="00312531">
        <w:t xml:space="preserve"> means that per capita consumption falls, albeit slightly, over the period of the analysis.</w:t>
      </w:r>
    </w:p>
    <w:p w14:paraId="7E7D8DC1" w14:textId="77777777" w:rsidR="00022915" w:rsidRPr="00312531" w:rsidRDefault="00022915" w:rsidP="00022915">
      <w:r>
        <w:t>Because</w:t>
      </w:r>
      <w:r w:rsidRPr="00312531">
        <w:t xml:space="preserve"> the propensity to litter is higher in public places, the analysis considered the</w:t>
      </w:r>
      <w:r>
        <w:t> </w:t>
      </w:r>
      <w:r w:rsidRPr="00312531">
        <w:t>consumption of beverage containers split across three locations</w:t>
      </w:r>
      <w:r>
        <w:t xml:space="preserve"> (MJA 2013)</w:t>
      </w:r>
      <w:r w:rsidRPr="00312531">
        <w:t>:</w:t>
      </w:r>
    </w:p>
    <w:p w14:paraId="31B41A74" w14:textId="77777777" w:rsidR="00022915" w:rsidRPr="00CE7AE0" w:rsidRDefault="00022915" w:rsidP="00022915">
      <w:pPr>
        <w:pStyle w:val="Bullets1stindent"/>
        <w:spacing w:before="60" w:line="240" w:lineRule="auto"/>
      </w:pPr>
      <w:r w:rsidRPr="00CE7AE0">
        <w:t>at home (</w:t>
      </w:r>
      <w:r w:rsidRPr="00667DD7">
        <w:t>70</w:t>
      </w:r>
      <w:r>
        <w:t xml:space="preserve"> per cent</w:t>
      </w:r>
      <w:r w:rsidRPr="00CE7AE0">
        <w:t>)</w:t>
      </w:r>
      <w:r>
        <w:t>;</w:t>
      </w:r>
    </w:p>
    <w:p w14:paraId="656798FF" w14:textId="77777777" w:rsidR="00022915" w:rsidRPr="00CE7AE0" w:rsidRDefault="00022915" w:rsidP="00022915">
      <w:pPr>
        <w:pStyle w:val="Bullets1stindent"/>
        <w:spacing w:before="60" w:line="240" w:lineRule="auto"/>
      </w:pPr>
      <w:r w:rsidRPr="00CE7AE0">
        <w:t>away from home</w:t>
      </w:r>
      <w:r w:rsidRPr="00CE7AE0">
        <w:rPr>
          <w:rFonts w:cs="Calibri"/>
        </w:rPr>
        <w:t>—</w:t>
      </w:r>
      <w:r w:rsidRPr="00CE7AE0">
        <w:t>public places (</w:t>
      </w:r>
      <w:r w:rsidRPr="00667DD7">
        <w:t>20</w:t>
      </w:r>
      <w:r w:rsidRPr="00F76243">
        <w:t xml:space="preserve"> </w:t>
      </w:r>
      <w:r>
        <w:t>per cent</w:t>
      </w:r>
      <w:r w:rsidRPr="00CE7AE0">
        <w:t>)</w:t>
      </w:r>
      <w:r>
        <w:t>; and</w:t>
      </w:r>
    </w:p>
    <w:p w14:paraId="52656C11" w14:textId="77777777" w:rsidR="00022915" w:rsidRPr="00CE7AE0" w:rsidRDefault="00022915" w:rsidP="00022915">
      <w:pPr>
        <w:pStyle w:val="Bullets1stindent"/>
        <w:spacing w:before="60" w:line="240" w:lineRule="auto"/>
      </w:pPr>
      <w:r w:rsidRPr="00CE7AE0">
        <w:t>away from home</w:t>
      </w:r>
      <w:r w:rsidRPr="00CE7AE0">
        <w:rPr>
          <w:rFonts w:cs="Calibri"/>
        </w:rPr>
        <w:t>—</w:t>
      </w:r>
      <w:r w:rsidRPr="00CE7AE0">
        <w:t>non-public places (</w:t>
      </w:r>
      <w:r>
        <w:t>10</w:t>
      </w:r>
      <w:r w:rsidRPr="00F76243">
        <w:t xml:space="preserve"> </w:t>
      </w:r>
      <w:r>
        <w:t>per cent</w:t>
      </w:r>
      <w:r w:rsidRPr="00CE7AE0">
        <w:t xml:space="preserve">). </w:t>
      </w:r>
    </w:p>
    <w:p w14:paraId="17EFA491" w14:textId="77777777" w:rsidR="00022915" w:rsidRPr="00287AB8" w:rsidRDefault="00022915" w:rsidP="00022915">
      <w:r>
        <w:t xml:space="preserve">There is some uncertainty about the estimated splits between different locations, so several sensitivity tests </w:t>
      </w:r>
      <w:r w:rsidRPr="00CE7AE0">
        <w:t xml:space="preserve">were also undertaken (see </w:t>
      </w:r>
      <w:r>
        <w:fldChar w:fldCharType="begin"/>
      </w:r>
      <w:r>
        <w:instrText xml:space="preserve"> REF _Ref506539329 \r \h </w:instrText>
      </w:r>
      <w:r>
        <w:fldChar w:fldCharType="separate"/>
      </w:r>
      <w:r>
        <w:t>4.3</w:t>
      </w:r>
      <w:r>
        <w:fldChar w:fldCharType="end"/>
      </w:r>
      <w:r w:rsidRPr="00CE7AE0">
        <w:t>).</w:t>
      </w:r>
    </w:p>
    <w:p w14:paraId="5F8900BA" w14:textId="77777777" w:rsidR="00022915" w:rsidRPr="00312531" w:rsidRDefault="00022915" w:rsidP="00022915">
      <w:r w:rsidRPr="00BB5DED">
        <w:t>Under the base case, of the beverage containers used in 2017, 688 million containers (or</w:t>
      </w:r>
      <w:r>
        <w:t> </w:t>
      </w:r>
      <w:r w:rsidRPr="00BB5DED">
        <w:t>38</w:t>
      </w:r>
      <w:r>
        <w:t> per cent</w:t>
      </w:r>
      <w:r w:rsidRPr="00BB5DED">
        <w:t>) were recycled, 1,045 million (58</w:t>
      </w:r>
      <w:r w:rsidRPr="00F76243">
        <w:t xml:space="preserve"> </w:t>
      </w:r>
      <w:r>
        <w:t>per cent</w:t>
      </w:r>
      <w:r w:rsidRPr="00BB5DED">
        <w:t xml:space="preserve">) are estimated to have ended up in landfill, and the remaining </w:t>
      </w:r>
      <w:r>
        <w:t>80</w:t>
      </w:r>
      <w:r w:rsidRPr="00BB5DED">
        <w:t xml:space="preserve"> million (</w:t>
      </w:r>
      <w:r>
        <w:t>four</w:t>
      </w:r>
      <w:r w:rsidRPr="00F76243">
        <w:t xml:space="preserve"> </w:t>
      </w:r>
      <w:r>
        <w:t>per cent</w:t>
      </w:r>
      <w:r w:rsidRPr="00BB5DED">
        <w:t>) are likely to have directly entered the</w:t>
      </w:r>
      <w:r>
        <w:t> </w:t>
      </w:r>
      <w:r w:rsidRPr="00BB5DED">
        <w:t>litter stream.</w:t>
      </w:r>
    </w:p>
    <w:p w14:paraId="25EDC64D" w14:textId="77777777" w:rsidR="00022915" w:rsidRPr="00D67FDF" w:rsidRDefault="00022915" w:rsidP="00022915">
      <w:pPr>
        <w:pStyle w:val="Heading3"/>
      </w:pPr>
      <w:bookmarkStart w:id="150" w:name="_Toc506552663"/>
      <w:r w:rsidRPr="00D67FDF">
        <w:t>Changes in disposal methods</w:t>
      </w:r>
      <w:bookmarkEnd w:id="150"/>
    </w:p>
    <w:p w14:paraId="2DDD2C93" w14:textId="77777777" w:rsidR="00022915" w:rsidRPr="00312531" w:rsidRDefault="00022915" w:rsidP="00022915">
      <w:r w:rsidRPr="00312531">
        <w:t>Following use, beverage containers are disposed</w:t>
      </w:r>
      <w:r>
        <w:t xml:space="preserve"> of</w:t>
      </w:r>
      <w:r w:rsidRPr="00312531">
        <w:t xml:space="preserve"> </w:t>
      </w:r>
      <w:r>
        <w:t>through</w:t>
      </w:r>
      <w:r w:rsidRPr="00312531">
        <w:t xml:space="preserve"> one of three main disposal streams. </w:t>
      </w:r>
      <w:r>
        <w:t xml:space="preserve"> </w:t>
      </w:r>
      <w:r w:rsidRPr="00312531">
        <w:t>They may be recycled, enter the litter stream or be directly disposed of as landfill.</w:t>
      </w:r>
    </w:p>
    <w:p w14:paraId="1903CA83" w14:textId="77777777" w:rsidR="00022915" w:rsidRPr="00312531" w:rsidRDefault="00022915" w:rsidP="00022915">
      <w:r w:rsidRPr="00312531">
        <w:t xml:space="preserve">The </w:t>
      </w:r>
      <w:r>
        <w:t>material flows analysis that underpins the cost-benefit analysis</w:t>
      </w:r>
      <w:r w:rsidRPr="00312531">
        <w:t xml:space="preserve"> uses estimates of current and future recycling rates and changes in the propensity to litter under the business-as-usual option and the CDS option. </w:t>
      </w:r>
      <w:r>
        <w:t xml:space="preserve"> </w:t>
      </w:r>
      <w:r w:rsidRPr="00312531">
        <w:t>The number of containers that move directly into the landfill stream then becomes a balancing item (based on total beverage consumption projections).</w:t>
      </w:r>
    </w:p>
    <w:p w14:paraId="417CC587" w14:textId="77777777" w:rsidR="00022915" w:rsidRPr="00D67FDF" w:rsidRDefault="00022915" w:rsidP="00022915">
      <w:pPr>
        <w:pStyle w:val="Heading3"/>
      </w:pPr>
      <w:bookmarkStart w:id="151" w:name="_Toc506552664"/>
      <w:r w:rsidRPr="00D67FDF">
        <w:t>Projected impact of the CDS on litter</w:t>
      </w:r>
      <w:bookmarkEnd w:id="151"/>
    </w:p>
    <w:p w14:paraId="6AB29FE3" w14:textId="77777777" w:rsidR="00022915" w:rsidRPr="00AC4107" w:rsidRDefault="00022915" w:rsidP="00022915">
      <w:r w:rsidRPr="00AC4107">
        <w:t xml:space="preserve">Based on the effectiveness of similar </w:t>
      </w:r>
      <w:r w:rsidRPr="00CE7AE0">
        <w:t xml:space="preserve">CDSs </w:t>
      </w:r>
      <w:r w:rsidRPr="006A3045">
        <w:t>in South Australia and the Northern Territory</w:t>
      </w:r>
      <w:r w:rsidRPr="00CE7AE0">
        <w:t>, the</w:t>
      </w:r>
      <w:r>
        <w:t xml:space="preserve"> Western Australian CDS </w:t>
      </w:r>
      <w:r w:rsidRPr="00AC4107">
        <w:t xml:space="preserve">is expected to steadily reduce the proportion of beverage containers littered. </w:t>
      </w:r>
    </w:p>
    <w:p w14:paraId="61ACAB1E" w14:textId="77777777" w:rsidR="00022915" w:rsidRPr="0006578B" w:rsidRDefault="00022915" w:rsidP="00022915">
      <w:r w:rsidRPr="0006578B">
        <w:t xml:space="preserve">The </w:t>
      </w:r>
      <w:r>
        <w:t>estimation of the</w:t>
      </w:r>
      <w:r w:rsidRPr="0006578B">
        <w:t xml:space="preserve"> </w:t>
      </w:r>
      <w:r>
        <w:t>impact</w:t>
      </w:r>
      <w:r w:rsidRPr="0006578B">
        <w:t xml:space="preserve"> of the CDS on litter volumes uses the same framework, assumptions and data sources that were used in the Packaging </w:t>
      </w:r>
      <w:r>
        <w:t>Impacts</w:t>
      </w:r>
      <w:r w:rsidRPr="0006578B">
        <w:t xml:space="preserve"> Decision </w:t>
      </w:r>
      <w:r>
        <w:t>RIS (NEPC 2014)</w:t>
      </w:r>
      <w:r w:rsidRPr="0006578B">
        <w:t>. Section 3.3 of Attachment K</w:t>
      </w:r>
      <w:r>
        <w:t xml:space="preserve"> to that RIS</w:t>
      </w:r>
      <w:r w:rsidRPr="0006578B">
        <w:t xml:space="preserve"> details the approach, assumptions and sources that were used</w:t>
      </w:r>
      <w:r>
        <w:t xml:space="preserve"> (</w:t>
      </w:r>
      <w:r w:rsidRPr="00A818D0">
        <w:t>MJA</w:t>
      </w:r>
      <w:r>
        <w:t xml:space="preserve"> 2013)</w:t>
      </w:r>
      <w:r w:rsidRPr="0006578B">
        <w:t xml:space="preserve">. </w:t>
      </w:r>
      <w:r>
        <w:t xml:space="preserve"> </w:t>
      </w:r>
      <w:r w:rsidRPr="0006578B">
        <w:t xml:space="preserve">The apparent </w:t>
      </w:r>
      <w:r>
        <w:t>impact</w:t>
      </w:r>
      <w:r w:rsidRPr="0006578B">
        <w:t xml:space="preserve"> of the South Australian CDS on beverage container litter is described in detail </w:t>
      </w:r>
      <w:r>
        <w:t>in the Appendix</w:t>
      </w:r>
      <w:r w:rsidRPr="0006578B">
        <w:t xml:space="preserve"> to this RIS.</w:t>
      </w:r>
    </w:p>
    <w:p w14:paraId="382D8E11" w14:textId="77777777" w:rsidR="00022915" w:rsidRPr="00D51BAB" w:rsidRDefault="00022915" w:rsidP="00022915">
      <w:r w:rsidRPr="00D51BAB">
        <w:t xml:space="preserve">When applying this approach to the </w:t>
      </w:r>
      <w:r>
        <w:t>cost-benefit analysis</w:t>
      </w:r>
      <w:r w:rsidRPr="00D51BAB">
        <w:t xml:space="preserve"> of the</w:t>
      </w:r>
      <w:r>
        <w:t xml:space="preserve"> Western Australian </w:t>
      </w:r>
      <w:r w:rsidRPr="00D51BAB">
        <w:t>CDS, the only key change was to ensure that the propensity to litter reflects</w:t>
      </w:r>
      <w:r>
        <w:t xml:space="preserve"> Western Australian </w:t>
      </w:r>
      <w:r w:rsidRPr="00D51BAB">
        <w:t xml:space="preserve">circumstances, instead of the national propensity in the Packaging </w:t>
      </w:r>
      <w:r>
        <w:t>Impact</w:t>
      </w:r>
      <w:r w:rsidRPr="00D51BAB">
        <w:t xml:space="preserve"> Decision RIS.</w:t>
      </w:r>
      <w:r>
        <w:t xml:space="preserve"> T</w:t>
      </w:r>
      <w:r w:rsidRPr="00D51BAB">
        <w:t xml:space="preserve">hese changes also introduce a degree of conservatism </w:t>
      </w:r>
      <w:r>
        <w:t>in</w:t>
      </w:r>
      <w:r w:rsidRPr="00D51BAB">
        <w:t>to th</w:t>
      </w:r>
      <w:r>
        <w:t>is</w:t>
      </w:r>
      <w:r w:rsidRPr="00D51BAB">
        <w:t xml:space="preserve"> analysis compared to the Packaging </w:t>
      </w:r>
      <w:r>
        <w:t>Impact</w:t>
      </w:r>
      <w:r w:rsidRPr="00D51BAB">
        <w:t xml:space="preserve"> Decision RIS analysis.</w:t>
      </w:r>
    </w:p>
    <w:bookmarkStart w:id="152" w:name="_Hlk510687131"/>
    <w:p w14:paraId="46AFF8CB" w14:textId="77777777" w:rsidR="00022915" w:rsidRDefault="00022915" w:rsidP="00022915">
      <w:r>
        <w:fldChar w:fldCharType="begin"/>
      </w:r>
      <w:r>
        <w:instrText xml:space="preserve"> REF _Ref510635698 \h </w:instrText>
      </w:r>
      <w:r>
        <w:fldChar w:fldCharType="separate"/>
      </w:r>
      <w:r w:rsidRPr="00BA1964">
        <w:t xml:space="preserve">Figure </w:t>
      </w:r>
      <w:r>
        <w:rPr>
          <w:noProof/>
        </w:rPr>
        <w:t>5</w:t>
      </w:r>
      <w:r>
        <w:fldChar w:fldCharType="end"/>
      </w:r>
      <w:r w:rsidRPr="00D51BAB">
        <w:t xml:space="preserve"> shows the </w:t>
      </w:r>
      <w:r>
        <w:t>impact</w:t>
      </w:r>
      <w:r w:rsidRPr="00D51BAB">
        <w:t xml:space="preserve"> of the business-as-usual and CDS options on the proportion of beverage containers littered, by </w:t>
      </w:r>
      <w:r>
        <w:t xml:space="preserve">tonnage.  The total weight of container packaging in Western Australia is estimated to be around </w:t>
      </w:r>
      <w:r w:rsidRPr="00013DCD">
        <w:t>156</w:t>
      </w:r>
      <w:r>
        <w:t>,000</w:t>
      </w:r>
      <w:r w:rsidRPr="00013DCD">
        <w:t> tonnes</w:t>
      </w:r>
      <w:r>
        <w:t xml:space="preserve"> and around 4 per cent of containers are currently littered. This equates to a current estimate of slightly under 6,000 tonnes of beverage containers in the litter steam. </w:t>
      </w:r>
    </w:p>
    <w:p w14:paraId="67E85CAF" w14:textId="77777777" w:rsidR="00022915" w:rsidRDefault="00022915" w:rsidP="00022915">
      <w:r>
        <w:t>The graph shows that without the CDS (solid line marked as BAU) the quantity of litter will increase slowly over time.  However, under the CDS (dashed line) the quantity of litter will decrease sharply before steadying and then increasing slowly from 2028.</w:t>
      </w:r>
    </w:p>
    <w:p w14:paraId="583896B7" w14:textId="77777777" w:rsidR="00022915" w:rsidRPr="00430C1C" w:rsidRDefault="00022915" w:rsidP="00022915">
      <w:pPr>
        <w:pStyle w:val="Caption"/>
      </w:pPr>
      <w:bookmarkStart w:id="153" w:name="_Ref510635698"/>
      <w:bookmarkStart w:id="154" w:name="_Toc10031206"/>
      <w:bookmarkStart w:id="155" w:name="_Ref499722897"/>
      <w:bookmarkStart w:id="156" w:name="_Toc500154297"/>
      <w:bookmarkStart w:id="157" w:name="_Toc506554049"/>
      <w:bookmarkStart w:id="158" w:name="_Hlk510687112"/>
      <w:bookmarkEnd w:id="152"/>
      <w:r w:rsidRPr="00BA1964">
        <w:t xml:space="preserve">Figure </w:t>
      </w:r>
      <w:r w:rsidR="00CF34D3">
        <w:rPr>
          <w:noProof/>
        </w:rPr>
        <w:fldChar w:fldCharType="begin"/>
      </w:r>
      <w:r w:rsidR="00CF34D3">
        <w:rPr>
          <w:noProof/>
        </w:rPr>
        <w:instrText xml:space="preserve"> SEQ Figure \* ARABIC </w:instrText>
      </w:r>
      <w:r w:rsidR="00CF34D3">
        <w:rPr>
          <w:noProof/>
        </w:rPr>
        <w:fldChar w:fldCharType="separate"/>
      </w:r>
      <w:r>
        <w:rPr>
          <w:noProof/>
        </w:rPr>
        <w:t>5</w:t>
      </w:r>
      <w:r w:rsidR="00CF34D3">
        <w:rPr>
          <w:noProof/>
        </w:rPr>
        <w:fldChar w:fldCharType="end"/>
      </w:r>
      <w:bookmarkEnd w:id="153"/>
      <w:r w:rsidRPr="00BA1964">
        <w:t xml:space="preserve">: </w:t>
      </w:r>
      <w:r>
        <w:t>Beverage container l</w:t>
      </w:r>
      <w:r w:rsidRPr="00BA1964">
        <w:t>itter, 2017 to 2038 (tonnes)</w:t>
      </w:r>
      <w:bookmarkEnd w:id="154"/>
    </w:p>
    <w:bookmarkEnd w:id="155"/>
    <w:bookmarkEnd w:id="156"/>
    <w:bookmarkEnd w:id="157"/>
    <w:p w14:paraId="0DFACEF6" w14:textId="77777777" w:rsidR="00022915" w:rsidRDefault="00022915" w:rsidP="00022915">
      <w:pPr>
        <w:pStyle w:val="DWERSource"/>
      </w:pPr>
      <w:r>
        <w:rPr>
          <w:noProof/>
          <w:lang w:eastAsia="en-AU"/>
        </w:rPr>
        <w:drawing>
          <wp:inline distT="0" distB="0" distL="0" distR="0" wp14:anchorId="0F9EEDDE" wp14:editId="5F181FF5">
            <wp:extent cx="5669548" cy="3400425"/>
            <wp:effectExtent l="0" t="0" r="7620" b="0"/>
            <wp:docPr id="14" name="Picture 14" descr="Graph showing the estimated mass (in tonnes) of beverage container litter over the period from 2018 to 2037 with and with out the C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1994" cy="3407889"/>
                    </a:xfrm>
                    <a:prstGeom prst="rect">
                      <a:avLst/>
                    </a:prstGeom>
                    <a:noFill/>
                  </pic:spPr>
                </pic:pic>
              </a:graphicData>
            </a:graphic>
          </wp:inline>
        </w:drawing>
      </w:r>
    </w:p>
    <w:p w14:paraId="69E27D18" w14:textId="77777777" w:rsidR="00022915" w:rsidRDefault="00022915" w:rsidP="00022915">
      <w:pPr>
        <w:pStyle w:val="DWERSource"/>
        <w:rPr>
          <w:rFonts w:ascii="Trebuchet MS" w:hAnsi="Trebuchet MS"/>
          <w:bCs/>
          <w:iCs/>
          <w:spacing w:val="20"/>
          <w:sz w:val="24"/>
          <w:szCs w:val="28"/>
        </w:rPr>
      </w:pPr>
      <w:r w:rsidRPr="00566994">
        <w:t xml:space="preserve">Source: </w:t>
      </w:r>
      <w:r>
        <w:tab/>
      </w:r>
      <w:r w:rsidRPr="00566994">
        <w:t>Marsden Jacob Associates, 2018.</w:t>
      </w:r>
    </w:p>
    <w:p w14:paraId="30E5F7BB" w14:textId="77777777" w:rsidR="00022915" w:rsidRPr="00EA4B0B" w:rsidRDefault="00022915" w:rsidP="00022915">
      <w:r>
        <w:t xml:space="preserve">The projected impact of the CDS on litter, landfill and recycling rates can also be considered in terms of container numbers. </w:t>
      </w:r>
      <w:r w:rsidRPr="00EA4B0B">
        <w:t xml:space="preserve">By </w:t>
      </w:r>
      <w:r w:rsidRPr="006A3045">
        <w:t>2037</w:t>
      </w:r>
      <w:r w:rsidRPr="00EA4B0B">
        <w:t>, the CDS is estimated to result in</w:t>
      </w:r>
      <w:r>
        <w:t xml:space="preserve"> a total accumulated impact (over 20 years) of</w:t>
      </w:r>
      <w:r w:rsidRPr="00EA4B0B">
        <w:t>:</w:t>
      </w:r>
    </w:p>
    <w:p w14:paraId="015D9E00" w14:textId="77777777" w:rsidR="00022915" w:rsidRPr="00EA4B0B" w:rsidRDefault="00022915" w:rsidP="00022915">
      <w:pPr>
        <w:pStyle w:val="Bullets1stindent"/>
        <w:spacing w:line="240" w:lineRule="auto"/>
      </w:pPr>
      <w:r w:rsidRPr="006A3045">
        <w:t xml:space="preserve">706 million </w:t>
      </w:r>
      <w:r w:rsidRPr="00EA4B0B">
        <w:t>fewer beverage containers being littered;</w:t>
      </w:r>
    </w:p>
    <w:p w14:paraId="7F830A09" w14:textId="77777777" w:rsidR="00022915" w:rsidRPr="00EA4B0B" w:rsidRDefault="00022915" w:rsidP="00022915">
      <w:pPr>
        <w:pStyle w:val="Bullets1stindent"/>
        <w:spacing w:line="240" w:lineRule="auto"/>
      </w:pPr>
      <w:r w:rsidRPr="006A3045">
        <w:t xml:space="preserve">5,902 </w:t>
      </w:r>
      <w:r w:rsidRPr="00EA4B0B">
        <w:t>million fewer beverage containers ending up in landfill; and</w:t>
      </w:r>
    </w:p>
    <w:p w14:paraId="612509A2" w14:textId="77777777" w:rsidR="00022915" w:rsidRPr="00CA0711" w:rsidRDefault="00022915" w:rsidP="00022915">
      <w:pPr>
        <w:pStyle w:val="Bullets1stindent"/>
        <w:spacing w:after="240" w:line="240" w:lineRule="auto"/>
      </w:pPr>
      <w:r w:rsidRPr="006A3045">
        <w:t xml:space="preserve">6,608 </w:t>
      </w:r>
      <w:r w:rsidRPr="00EA4B0B">
        <w:t>million more</w:t>
      </w:r>
      <w:r w:rsidRPr="00CA0711">
        <w:t xml:space="preserve"> beverage containers being recycled.</w:t>
      </w:r>
    </w:p>
    <w:p w14:paraId="64EF75B9" w14:textId="77777777" w:rsidR="00022915" w:rsidRDefault="00022915" w:rsidP="00022915">
      <w:pPr>
        <w:pStyle w:val="Heading2"/>
      </w:pPr>
      <w:bookmarkStart w:id="159" w:name="_Toc506552665"/>
      <w:bookmarkStart w:id="160" w:name="_Ref508658940"/>
      <w:bookmarkStart w:id="161" w:name="_Toc9375376"/>
      <w:bookmarkStart w:id="162" w:name="_Ref498440023"/>
      <w:bookmarkStart w:id="163" w:name="_Toc500154258"/>
      <w:bookmarkEnd w:id="158"/>
      <w:r w:rsidRPr="00287AB8">
        <w:t xml:space="preserve">Distributional </w:t>
      </w:r>
      <w:r>
        <w:t>impacts</w:t>
      </w:r>
      <w:r w:rsidRPr="00287AB8">
        <w:t xml:space="preserve"> and regulatory burden measurement</w:t>
      </w:r>
      <w:bookmarkEnd w:id="159"/>
      <w:bookmarkEnd w:id="160"/>
      <w:bookmarkEnd w:id="161"/>
    </w:p>
    <w:bookmarkEnd w:id="162"/>
    <w:bookmarkEnd w:id="163"/>
    <w:p w14:paraId="51842D4C" w14:textId="77777777" w:rsidR="00022915" w:rsidRDefault="00022915" w:rsidP="00022915">
      <w:r w:rsidRPr="00D51BAB">
        <w:t xml:space="preserve">In addition to assessing the </w:t>
      </w:r>
      <w:r>
        <w:t>impact</w:t>
      </w:r>
      <w:r w:rsidRPr="00D51BAB">
        <w:t xml:space="preserve"> of the reform on the</w:t>
      </w:r>
      <w:r>
        <w:t xml:space="preserve"> Western Australian </w:t>
      </w:r>
      <w:r w:rsidRPr="00D51BAB">
        <w:t>economy, it is useful to consider the distribution of the costs and benefits among stakeholder groups.</w:t>
      </w:r>
    </w:p>
    <w:p w14:paraId="56CA9673" w14:textId="77777777" w:rsidR="00022915" w:rsidRPr="00D67FDF" w:rsidRDefault="00022915" w:rsidP="00022915">
      <w:pPr>
        <w:pStyle w:val="Heading3"/>
      </w:pPr>
      <w:bookmarkStart w:id="164" w:name="_Toc506552666"/>
      <w:r w:rsidRPr="00D67FDF">
        <w:t>Stakeholder groups</w:t>
      </w:r>
      <w:bookmarkEnd w:id="164"/>
    </w:p>
    <w:p w14:paraId="34FA8B73" w14:textId="77777777" w:rsidR="00022915" w:rsidRPr="00D51BAB" w:rsidRDefault="00022915" w:rsidP="00022915">
      <w:r w:rsidRPr="00D51BAB">
        <w:t xml:space="preserve">The stakeholder groups considered for the distribution analysis are consistent with </w:t>
      </w:r>
      <w:r>
        <w:t xml:space="preserve">those selected for </w:t>
      </w:r>
      <w:r w:rsidRPr="00D51BAB">
        <w:t xml:space="preserve">previous distributional </w:t>
      </w:r>
      <w:r>
        <w:t>impact</w:t>
      </w:r>
      <w:r w:rsidRPr="00D51BAB">
        <w:t xml:space="preserve"> assessments of container and packaging deposit schemes. </w:t>
      </w:r>
      <w:r>
        <w:t xml:space="preserve"> </w:t>
      </w:r>
      <w:r w:rsidRPr="00D51BAB">
        <w:t>The analysis focuses on the following stakeholders:</w:t>
      </w:r>
    </w:p>
    <w:p w14:paraId="0AC4942C" w14:textId="77777777" w:rsidR="00022915" w:rsidRPr="00D51BAB" w:rsidRDefault="00022915" w:rsidP="00022915">
      <w:pPr>
        <w:pStyle w:val="Bullets1stindent"/>
        <w:spacing w:line="240" w:lineRule="auto"/>
      </w:pPr>
      <w:r>
        <w:t xml:space="preserve">The Western Australian </w:t>
      </w:r>
      <w:r w:rsidRPr="00D51BAB">
        <w:t>Government</w:t>
      </w:r>
      <w:r>
        <w:t>;</w:t>
      </w:r>
    </w:p>
    <w:p w14:paraId="327503D9" w14:textId="77777777" w:rsidR="00022915" w:rsidRDefault="00022915" w:rsidP="00022915">
      <w:pPr>
        <w:pStyle w:val="Bullets1stindent"/>
        <w:spacing w:line="240" w:lineRule="auto"/>
      </w:pPr>
      <w:r>
        <w:t xml:space="preserve">the </w:t>
      </w:r>
      <w:r w:rsidRPr="00D51BAB">
        <w:t xml:space="preserve">Australian Government and </w:t>
      </w:r>
      <w:r>
        <w:t xml:space="preserve">the </w:t>
      </w:r>
      <w:r w:rsidRPr="00D51BAB">
        <w:t xml:space="preserve">governments </w:t>
      </w:r>
      <w:r>
        <w:t xml:space="preserve">of </w:t>
      </w:r>
      <w:r w:rsidRPr="00D51BAB">
        <w:t>other state</w:t>
      </w:r>
      <w:r>
        <w:t>s</w:t>
      </w:r>
      <w:r w:rsidRPr="00D51BAB">
        <w:t xml:space="preserve"> and territor</w:t>
      </w:r>
      <w:r>
        <w:t>ies;</w:t>
      </w:r>
    </w:p>
    <w:p w14:paraId="4E216796" w14:textId="77777777" w:rsidR="00022915" w:rsidRPr="00D51BAB" w:rsidRDefault="00022915" w:rsidP="00022915">
      <w:pPr>
        <w:pStyle w:val="Bullets1stindent"/>
        <w:spacing w:line="240" w:lineRule="auto"/>
      </w:pPr>
      <w:r>
        <w:t>Western Australian local governments;</w:t>
      </w:r>
    </w:p>
    <w:p w14:paraId="728FB177" w14:textId="77777777" w:rsidR="00022915" w:rsidRDefault="00022915" w:rsidP="00022915">
      <w:pPr>
        <w:pStyle w:val="Bullets1stindent"/>
        <w:spacing w:line="240" w:lineRule="auto"/>
      </w:pPr>
      <w:r>
        <w:t>service providers (material recovery facilities and refund point operators);</w:t>
      </w:r>
    </w:p>
    <w:p w14:paraId="0D98297B" w14:textId="77777777" w:rsidR="00022915" w:rsidRDefault="00022915" w:rsidP="00022915">
      <w:pPr>
        <w:pStyle w:val="Bullets1stindent"/>
        <w:spacing w:line="240" w:lineRule="auto"/>
      </w:pPr>
      <w:r>
        <w:t>charities and community groups;</w:t>
      </w:r>
    </w:p>
    <w:p w14:paraId="217C01EB" w14:textId="77777777" w:rsidR="00022915" w:rsidRPr="00D51BAB" w:rsidRDefault="00022915" w:rsidP="00022915">
      <w:pPr>
        <w:pStyle w:val="Bullets1stindent"/>
        <w:spacing w:line="240" w:lineRule="auto"/>
      </w:pPr>
      <w:r w:rsidRPr="00D51BAB">
        <w:t>the food and beverage industry</w:t>
      </w:r>
      <w:r>
        <w:t>;</w:t>
      </w:r>
    </w:p>
    <w:p w14:paraId="2D624A9F" w14:textId="77777777" w:rsidR="00022915" w:rsidRPr="00D51BAB" w:rsidRDefault="00022915" w:rsidP="00022915">
      <w:pPr>
        <w:pStyle w:val="Bullets1stindent"/>
        <w:spacing w:line="240" w:lineRule="auto"/>
      </w:pPr>
      <w:r w:rsidRPr="00D51BAB">
        <w:t>beverage consumers</w:t>
      </w:r>
      <w:r>
        <w:t>; and</w:t>
      </w:r>
    </w:p>
    <w:p w14:paraId="2ED57CB8" w14:textId="77777777" w:rsidR="00022915" w:rsidRPr="00D51BAB" w:rsidRDefault="00022915" w:rsidP="00022915">
      <w:pPr>
        <w:pStyle w:val="Bullets1stindent"/>
        <w:spacing w:line="240" w:lineRule="auto"/>
      </w:pPr>
      <w:r>
        <w:t xml:space="preserve">the </w:t>
      </w:r>
      <w:r w:rsidRPr="00D51BAB">
        <w:t>environment.</w:t>
      </w:r>
    </w:p>
    <w:p w14:paraId="4F1E7935" w14:textId="77777777" w:rsidR="00022915" w:rsidRDefault="00022915" w:rsidP="00022915">
      <w:r>
        <w:fldChar w:fldCharType="begin"/>
      </w:r>
      <w:r>
        <w:instrText xml:space="preserve"> REF _Ref9439798 \h </w:instrText>
      </w:r>
      <w:r>
        <w:fldChar w:fldCharType="separate"/>
      </w:r>
      <w:r w:rsidRPr="0095209A">
        <w:t>Table</w:t>
      </w:r>
      <w:r>
        <w:t xml:space="preserve"> </w:t>
      </w:r>
      <w:r>
        <w:rPr>
          <w:noProof/>
        </w:rPr>
        <w:t>14</w:t>
      </w:r>
      <w:r>
        <w:fldChar w:fldCharType="end"/>
      </w:r>
      <w:r>
        <w:t xml:space="preserve"> summarises the impacts of the CDS, both positive and negative, on each of the stakeholder groups.</w:t>
      </w:r>
    </w:p>
    <w:p w14:paraId="5F1CC257" w14:textId="77777777" w:rsidR="00022915" w:rsidRDefault="00022915" w:rsidP="00022915">
      <w:pPr>
        <w:pStyle w:val="Caption"/>
      </w:pPr>
      <w:bookmarkStart w:id="165" w:name="_Ref9439798"/>
      <w:bookmarkStart w:id="166" w:name="_Toc500154285"/>
      <w:bookmarkStart w:id="167" w:name="_Toc506552696"/>
      <w:bookmarkStart w:id="168" w:name="_Toc10031223"/>
      <w:r w:rsidRPr="0095209A">
        <w:t>Table</w:t>
      </w:r>
      <w:r>
        <w:t xml:space="preserve"> </w:t>
      </w:r>
      <w:r w:rsidR="00CF34D3">
        <w:rPr>
          <w:noProof/>
        </w:rPr>
        <w:fldChar w:fldCharType="begin"/>
      </w:r>
      <w:r w:rsidR="00CF34D3">
        <w:rPr>
          <w:noProof/>
        </w:rPr>
        <w:instrText xml:space="preserve"> SEQ Table \* ARABIC </w:instrText>
      </w:r>
      <w:r w:rsidR="00CF34D3">
        <w:rPr>
          <w:noProof/>
        </w:rPr>
        <w:fldChar w:fldCharType="separate"/>
      </w:r>
      <w:r>
        <w:rPr>
          <w:noProof/>
        </w:rPr>
        <w:t>14</w:t>
      </w:r>
      <w:r w:rsidR="00CF34D3">
        <w:rPr>
          <w:noProof/>
        </w:rPr>
        <w:fldChar w:fldCharType="end"/>
      </w:r>
      <w:bookmarkEnd w:id="165"/>
      <w:r>
        <w:t>: Impacts by stakeholder group</w:t>
      </w:r>
      <w:bookmarkEnd w:id="166"/>
      <w:bookmarkEnd w:id="167"/>
      <w:bookmarkEnd w:id="16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mpacts by stakeholder group"/>
        <w:tblDescription w:val="Table summarising the impacts that are relevant for each stakeholder group."/>
      </w:tblPr>
      <w:tblGrid>
        <w:gridCol w:w="1906"/>
        <w:gridCol w:w="7166"/>
      </w:tblGrid>
      <w:tr w:rsidR="00022915" w:rsidRPr="0095209A" w14:paraId="7E892239" w14:textId="77777777" w:rsidTr="00C53AB1">
        <w:trPr>
          <w:cantSplit/>
          <w:tblHeader/>
        </w:trPr>
        <w:tc>
          <w:tcPr>
            <w:tcW w:w="1896" w:type="dxa"/>
            <w:shd w:val="clear" w:color="auto" w:fill="D9D9D9" w:themeFill="background1" w:themeFillShade="D9"/>
          </w:tcPr>
          <w:p w14:paraId="6D586682" w14:textId="77777777" w:rsidR="00022915" w:rsidRPr="00DA7A26" w:rsidRDefault="00022915" w:rsidP="00C53AB1">
            <w:pPr>
              <w:pStyle w:val="Tableheading0"/>
              <w:keepLines/>
            </w:pPr>
            <w:r w:rsidRPr="00DA7A26">
              <w:t>Stakeholder</w:t>
            </w:r>
          </w:p>
        </w:tc>
        <w:tc>
          <w:tcPr>
            <w:tcW w:w="7176" w:type="dxa"/>
            <w:shd w:val="clear" w:color="auto" w:fill="D9D9D9" w:themeFill="background1" w:themeFillShade="D9"/>
          </w:tcPr>
          <w:p w14:paraId="7361806F" w14:textId="77777777" w:rsidR="00022915" w:rsidRPr="00DA7A26" w:rsidRDefault="00022915" w:rsidP="00C53AB1">
            <w:pPr>
              <w:pStyle w:val="Tableheading0"/>
              <w:keepLines/>
            </w:pPr>
            <w:r w:rsidRPr="00DA7A26">
              <w:t>CDS impacts</w:t>
            </w:r>
          </w:p>
        </w:tc>
      </w:tr>
      <w:tr w:rsidR="00022915" w:rsidRPr="0095209A" w14:paraId="22B37992" w14:textId="77777777" w:rsidTr="00C53AB1">
        <w:trPr>
          <w:cantSplit/>
        </w:trPr>
        <w:tc>
          <w:tcPr>
            <w:tcW w:w="1896" w:type="dxa"/>
            <w:shd w:val="clear" w:color="auto" w:fill="auto"/>
          </w:tcPr>
          <w:p w14:paraId="6DF2E74E" w14:textId="77777777" w:rsidR="00022915" w:rsidRPr="00284D6C" w:rsidRDefault="00022915" w:rsidP="00C53AB1">
            <w:pPr>
              <w:pStyle w:val="Tabletext0"/>
              <w:keepNext/>
              <w:keepLines/>
              <w:widowControl w:val="0"/>
              <w:spacing w:before="60"/>
              <w:rPr>
                <w:rFonts w:cs="Arial"/>
                <w:szCs w:val="20"/>
              </w:rPr>
            </w:pPr>
            <w:r w:rsidRPr="00284D6C">
              <w:rPr>
                <w:rFonts w:cs="Arial"/>
                <w:szCs w:val="20"/>
              </w:rPr>
              <w:t>Western Australian Government</w:t>
            </w:r>
          </w:p>
        </w:tc>
        <w:tc>
          <w:tcPr>
            <w:tcW w:w="7176" w:type="dxa"/>
            <w:shd w:val="clear" w:color="auto" w:fill="auto"/>
          </w:tcPr>
          <w:p w14:paraId="1AA08C41" w14:textId="77777777" w:rsidR="00022915" w:rsidRPr="00566994" w:rsidRDefault="00022915" w:rsidP="00C53AB1">
            <w:pPr>
              <w:pStyle w:val="Tabletext0"/>
              <w:keepNext/>
              <w:keepLines/>
              <w:widowControl w:val="0"/>
              <w:spacing w:before="60"/>
              <w:rPr>
                <w:rFonts w:cs="Arial"/>
                <w:szCs w:val="20"/>
              </w:rPr>
            </w:pPr>
            <w:r w:rsidRPr="00566994">
              <w:rPr>
                <w:rFonts w:cs="Arial"/>
                <w:szCs w:val="20"/>
              </w:rPr>
              <w:t>The development and implementation of a CDS will affect the</w:t>
            </w:r>
            <w:r>
              <w:rPr>
                <w:rFonts w:cs="Arial"/>
                <w:szCs w:val="20"/>
              </w:rPr>
              <w:t xml:space="preserve"> Western Australian </w:t>
            </w:r>
            <w:r w:rsidRPr="00566994">
              <w:rPr>
                <w:rFonts w:cs="Arial"/>
                <w:szCs w:val="20"/>
              </w:rPr>
              <w:t>Government.</w:t>
            </w:r>
          </w:p>
          <w:p w14:paraId="1C316944" w14:textId="77777777" w:rsidR="00022915" w:rsidRPr="00566994" w:rsidRDefault="00022915" w:rsidP="00C53AB1">
            <w:pPr>
              <w:pStyle w:val="Tabletext0"/>
              <w:keepNext/>
              <w:keepLines/>
              <w:widowControl w:val="0"/>
              <w:spacing w:before="60"/>
              <w:rPr>
                <w:rFonts w:cs="Arial"/>
                <w:szCs w:val="20"/>
              </w:rPr>
            </w:pPr>
            <w:r w:rsidRPr="00566994">
              <w:rPr>
                <w:rFonts w:cs="Arial"/>
                <w:szCs w:val="20"/>
              </w:rPr>
              <w:t>Cost impacts are assumed to include costs for:</w:t>
            </w:r>
          </w:p>
          <w:p w14:paraId="2EA00C67" w14:textId="77777777" w:rsidR="00022915" w:rsidRPr="00DA7A26" w:rsidRDefault="00022915" w:rsidP="00C53AB1">
            <w:pPr>
              <w:pStyle w:val="Tablebullets1stindent"/>
              <w:keepNext/>
              <w:keepLines/>
            </w:pPr>
            <w:r w:rsidRPr="00DA7A26">
              <w:t>scheme development, including regulation and oversight mechanisms;</w:t>
            </w:r>
          </w:p>
          <w:p w14:paraId="4D0895D2" w14:textId="77777777" w:rsidR="00022915" w:rsidRPr="00DA7A26" w:rsidRDefault="00022915" w:rsidP="00C53AB1">
            <w:pPr>
              <w:pStyle w:val="Tablebullets1stindent"/>
              <w:keepNext/>
              <w:keepLines/>
            </w:pPr>
            <w:r w:rsidRPr="00DA7A26">
              <w:t>approval responsibilities for container refund marking;</w:t>
            </w:r>
          </w:p>
          <w:p w14:paraId="5D68814A" w14:textId="77777777" w:rsidR="00022915" w:rsidRPr="00DA7A26" w:rsidRDefault="00022915" w:rsidP="00C53AB1">
            <w:pPr>
              <w:pStyle w:val="Tablebullets1stindent"/>
              <w:keepNext/>
              <w:keepLines/>
            </w:pPr>
            <w:r w:rsidRPr="00DA7A26">
              <w:t>ongoing administration of the scheme; and</w:t>
            </w:r>
          </w:p>
          <w:p w14:paraId="0D34D239" w14:textId="77777777" w:rsidR="00022915" w:rsidRPr="00DA7A26" w:rsidRDefault="00022915" w:rsidP="00C53AB1">
            <w:pPr>
              <w:pStyle w:val="Tablebullets1stindent"/>
              <w:keepNext/>
              <w:keepLines/>
            </w:pPr>
            <w:r w:rsidRPr="00DA7A26">
              <w:t>monitoring and enforcement.</w:t>
            </w:r>
          </w:p>
          <w:p w14:paraId="3E717C1F" w14:textId="77777777" w:rsidR="00022915" w:rsidRPr="00566994" w:rsidRDefault="00022915" w:rsidP="00C53AB1">
            <w:pPr>
              <w:pStyle w:val="Tabletext0"/>
              <w:keepNext/>
              <w:keepLines/>
              <w:widowControl w:val="0"/>
              <w:spacing w:before="60"/>
              <w:rPr>
                <w:rFonts w:cs="Arial"/>
                <w:szCs w:val="20"/>
                <w:highlight w:val="yellow"/>
              </w:rPr>
            </w:pPr>
            <w:r w:rsidRPr="00566994">
              <w:rPr>
                <w:rFonts w:cs="Arial"/>
                <w:szCs w:val="20"/>
              </w:rPr>
              <w:t xml:space="preserve">The CDS will increase beverage container prices because scheme and deposit-related costs will be passed on to consumers, which will mean that goods and services tax (GST) revenue increases. The analysis assumes that </w:t>
            </w:r>
            <w:r>
              <w:rPr>
                <w:rFonts w:cs="Arial"/>
                <w:szCs w:val="20"/>
              </w:rPr>
              <w:t>four per cent</w:t>
            </w:r>
            <w:r w:rsidRPr="00566994">
              <w:rPr>
                <w:rFonts w:cs="Arial"/>
                <w:szCs w:val="20"/>
              </w:rPr>
              <w:t xml:space="preserve"> of additional GST revenue that results from the price rise would benefit the</w:t>
            </w:r>
            <w:r>
              <w:rPr>
                <w:rFonts w:cs="Arial"/>
                <w:szCs w:val="20"/>
              </w:rPr>
              <w:t xml:space="preserve"> Western Australian </w:t>
            </w:r>
            <w:r w:rsidRPr="00566994">
              <w:rPr>
                <w:rFonts w:cs="Arial"/>
                <w:szCs w:val="20"/>
              </w:rPr>
              <w:t>Government</w:t>
            </w:r>
            <w:r>
              <w:rPr>
                <w:rFonts w:cs="Arial"/>
                <w:szCs w:val="20"/>
              </w:rPr>
              <w:t>.</w:t>
            </w:r>
            <w:r w:rsidRPr="00566994">
              <w:rPr>
                <w:rFonts w:cs="Arial"/>
                <w:szCs w:val="20"/>
                <w:vertAlign w:val="superscript"/>
              </w:rPr>
              <w:t>a</w:t>
            </w:r>
          </w:p>
        </w:tc>
      </w:tr>
      <w:tr w:rsidR="00022915" w:rsidRPr="0095209A" w14:paraId="2307F3AA" w14:textId="77777777" w:rsidTr="00C53AB1">
        <w:trPr>
          <w:cantSplit/>
        </w:trPr>
        <w:tc>
          <w:tcPr>
            <w:tcW w:w="1896" w:type="dxa"/>
            <w:shd w:val="clear" w:color="auto" w:fill="auto"/>
          </w:tcPr>
          <w:p w14:paraId="5A4B9461" w14:textId="77777777" w:rsidR="00022915" w:rsidRPr="00566994" w:rsidRDefault="00022915" w:rsidP="00C53AB1">
            <w:pPr>
              <w:pStyle w:val="Tabletext0"/>
              <w:widowControl w:val="0"/>
              <w:spacing w:before="60"/>
              <w:rPr>
                <w:rFonts w:cs="Arial"/>
                <w:szCs w:val="20"/>
              </w:rPr>
            </w:pPr>
            <w:r w:rsidRPr="00566994">
              <w:rPr>
                <w:rFonts w:cs="Arial"/>
                <w:szCs w:val="20"/>
              </w:rPr>
              <w:t xml:space="preserve">Australian Government and </w:t>
            </w:r>
            <w:r w:rsidRPr="00A92F3E">
              <w:rPr>
                <w:rFonts w:cs="Arial"/>
                <w:szCs w:val="20"/>
              </w:rPr>
              <w:t>governments</w:t>
            </w:r>
            <w:r w:rsidRPr="0095209A">
              <w:rPr>
                <w:rFonts w:cs="Arial"/>
                <w:szCs w:val="20"/>
              </w:rPr>
              <w:t xml:space="preserve"> </w:t>
            </w:r>
            <w:r>
              <w:rPr>
                <w:rFonts w:cs="Arial"/>
                <w:szCs w:val="20"/>
              </w:rPr>
              <w:t xml:space="preserve">of </w:t>
            </w:r>
            <w:r w:rsidRPr="00566994">
              <w:rPr>
                <w:rFonts w:cs="Arial"/>
                <w:szCs w:val="20"/>
              </w:rPr>
              <w:t>state</w:t>
            </w:r>
            <w:r>
              <w:rPr>
                <w:rFonts w:cs="Arial"/>
                <w:szCs w:val="20"/>
              </w:rPr>
              <w:t>s</w:t>
            </w:r>
            <w:r w:rsidRPr="00566994">
              <w:rPr>
                <w:rFonts w:cs="Arial"/>
                <w:szCs w:val="20"/>
              </w:rPr>
              <w:t xml:space="preserve"> and territor</w:t>
            </w:r>
            <w:r>
              <w:rPr>
                <w:rFonts w:cs="Arial"/>
                <w:szCs w:val="20"/>
              </w:rPr>
              <w:t>ies</w:t>
            </w:r>
            <w:r w:rsidRPr="00566994">
              <w:rPr>
                <w:rFonts w:cs="Arial"/>
                <w:szCs w:val="20"/>
              </w:rPr>
              <w:t xml:space="preserve"> </w:t>
            </w:r>
          </w:p>
        </w:tc>
        <w:tc>
          <w:tcPr>
            <w:tcW w:w="7176" w:type="dxa"/>
            <w:shd w:val="clear" w:color="auto" w:fill="auto"/>
          </w:tcPr>
          <w:p w14:paraId="20882BE0" w14:textId="77777777" w:rsidR="00022915" w:rsidRPr="00566994" w:rsidRDefault="00022915" w:rsidP="00C53AB1">
            <w:pPr>
              <w:pStyle w:val="Tabletext0"/>
              <w:widowControl w:val="0"/>
              <w:spacing w:before="60"/>
              <w:rPr>
                <w:rFonts w:cs="Arial"/>
                <w:szCs w:val="20"/>
                <w:highlight w:val="yellow"/>
              </w:rPr>
            </w:pPr>
            <w:r w:rsidRPr="00566994">
              <w:rPr>
                <w:rFonts w:cs="Arial"/>
                <w:szCs w:val="20"/>
              </w:rPr>
              <w:t>It is assumed that 96</w:t>
            </w:r>
            <w:r>
              <w:rPr>
                <w:rFonts w:cs="Arial"/>
                <w:szCs w:val="20"/>
              </w:rPr>
              <w:t xml:space="preserve"> per cent</w:t>
            </w:r>
            <w:r w:rsidRPr="00566994">
              <w:rPr>
                <w:rFonts w:cs="Arial"/>
                <w:szCs w:val="20"/>
              </w:rPr>
              <w:t xml:space="preserve"> of any additional GST revenue that results from the price rise would benefit other state and territory governments.</w:t>
            </w:r>
            <w:r w:rsidRPr="00566994">
              <w:rPr>
                <w:rFonts w:cs="Arial"/>
                <w:szCs w:val="20"/>
                <w:vertAlign w:val="superscript"/>
              </w:rPr>
              <w:t>a</w:t>
            </w:r>
          </w:p>
        </w:tc>
      </w:tr>
      <w:tr w:rsidR="00022915" w:rsidRPr="0095209A" w14:paraId="4989A56E" w14:textId="77777777" w:rsidTr="00C53AB1">
        <w:trPr>
          <w:cantSplit/>
        </w:trPr>
        <w:tc>
          <w:tcPr>
            <w:tcW w:w="1896" w:type="dxa"/>
            <w:shd w:val="clear" w:color="auto" w:fill="auto"/>
          </w:tcPr>
          <w:p w14:paraId="031B7895" w14:textId="77777777" w:rsidR="00022915" w:rsidRPr="00104B57" w:rsidRDefault="00022915" w:rsidP="00C53AB1">
            <w:pPr>
              <w:pStyle w:val="Tabletext0"/>
              <w:widowControl w:val="0"/>
              <w:spacing w:before="60"/>
              <w:rPr>
                <w:rFonts w:cs="Arial"/>
                <w:szCs w:val="20"/>
              </w:rPr>
            </w:pPr>
            <w:r w:rsidRPr="00104B57">
              <w:rPr>
                <w:rFonts w:cs="Arial"/>
                <w:szCs w:val="20"/>
              </w:rPr>
              <w:t>Western Australian local governments</w:t>
            </w:r>
          </w:p>
        </w:tc>
        <w:tc>
          <w:tcPr>
            <w:tcW w:w="7176" w:type="dxa"/>
            <w:shd w:val="clear" w:color="auto" w:fill="auto"/>
          </w:tcPr>
          <w:p w14:paraId="4FEDABF8" w14:textId="77777777" w:rsidR="00022915" w:rsidRPr="00104B57" w:rsidRDefault="00022915" w:rsidP="00C53AB1">
            <w:pPr>
              <w:pStyle w:val="Tabletext0"/>
              <w:widowControl w:val="0"/>
              <w:spacing w:before="60"/>
              <w:rPr>
                <w:rFonts w:cs="Arial"/>
                <w:szCs w:val="20"/>
              </w:rPr>
            </w:pPr>
            <w:r w:rsidRPr="00104B57">
              <w:rPr>
                <w:rFonts w:cs="Arial"/>
                <w:szCs w:val="20"/>
              </w:rPr>
              <w:t>Benefits to local governments will accrue from reduced kerbside collection costs</w:t>
            </w:r>
            <w:r w:rsidRPr="00104B57">
              <w:rPr>
                <w:rStyle w:val="FootnoteReference"/>
                <w:rFonts w:cs="Arial"/>
                <w:szCs w:val="20"/>
              </w:rPr>
              <w:footnoteReference w:id="45"/>
            </w:r>
            <w:r w:rsidRPr="00104B57">
              <w:rPr>
                <w:rFonts w:cs="Arial"/>
                <w:szCs w:val="20"/>
              </w:rPr>
              <w:t xml:space="preserve">, while revenue may decrease due to diversion of redeemable containers.  </w:t>
            </w:r>
          </w:p>
          <w:p w14:paraId="6BEB19A4" w14:textId="77777777" w:rsidR="00022915" w:rsidRPr="00104B57" w:rsidRDefault="00022915" w:rsidP="00C53AB1">
            <w:pPr>
              <w:pStyle w:val="Tabletext0"/>
              <w:widowControl w:val="0"/>
              <w:spacing w:before="60"/>
              <w:rPr>
                <w:rFonts w:cs="Arial"/>
                <w:szCs w:val="20"/>
              </w:rPr>
            </w:pPr>
            <w:r w:rsidRPr="00104B57">
              <w:rPr>
                <w:rFonts w:cs="Arial"/>
                <w:szCs w:val="20"/>
              </w:rPr>
              <w:t xml:space="preserve">Benefits will also accrue to local governments through revenue sharing agreements with </w:t>
            </w:r>
            <w:r w:rsidRPr="00104B57">
              <w:rPr>
                <w:rFonts w:cs="Arial"/>
                <w:szCs w:val="20"/>
                <w:lang w:eastAsia="en-AU"/>
              </w:rPr>
              <w:t>Material recovery facilities</w:t>
            </w:r>
            <w:r w:rsidRPr="00104B57">
              <w:rPr>
                <w:rFonts w:cs="Arial"/>
                <w:szCs w:val="20"/>
              </w:rPr>
              <w:t xml:space="preserve">. The WARR regulations will include a default agreement position that will see each party share the revenue (50/50) once </w:t>
            </w:r>
            <w:r w:rsidRPr="00104B57">
              <w:rPr>
                <w:rFonts w:cs="Arial"/>
                <w:szCs w:val="20"/>
                <w:lang w:eastAsia="en-AU"/>
              </w:rPr>
              <w:t xml:space="preserve">Material recovery facility </w:t>
            </w:r>
            <w:r w:rsidRPr="00104B57">
              <w:rPr>
                <w:rFonts w:cs="Arial"/>
                <w:szCs w:val="20"/>
              </w:rPr>
              <w:t>costs are subtracted. This default arrangement will apply from scheme commencement until the parties can reach an alternative agreement.</w:t>
            </w:r>
          </w:p>
          <w:p w14:paraId="3543A389" w14:textId="77777777" w:rsidR="00022915" w:rsidRPr="00104B57" w:rsidRDefault="00022915" w:rsidP="00C53AB1">
            <w:pPr>
              <w:pStyle w:val="Tabletext0"/>
              <w:widowControl w:val="0"/>
              <w:spacing w:before="60"/>
              <w:rPr>
                <w:rFonts w:cs="Arial"/>
                <w:szCs w:val="20"/>
              </w:rPr>
            </w:pPr>
            <w:r w:rsidRPr="00104B57">
              <w:rPr>
                <w:rFonts w:cs="Arial"/>
                <w:szCs w:val="20"/>
              </w:rPr>
              <w:t>This arrangement has been developed between Western Australian Local Government Association (</w:t>
            </w:r>
            <w:r>
              <w:rPr>
                <w:rFonts w:cs="Arial"/>
                <w:szCs w:val="20"/>
              </w:rPr>
              <w:t>WA</w:t>
            </w:r>
            <w:r w:rsidRPr="00104B57">
              <w:rPr>
                <w:rFonts w:cs="Arial"/>
                <w:szCs w:val="20"/>
              </w:rPr>
              <w:t>LGA) and the waste industry and with the endorsement of the CDS Advisory Group.</w:t>
            </w:r>
          </w:p>
          <w:p w14:paraId="7EE59B74" w14:textId="77777777" w:rsidR="00022915" w:rsidRPr="00566994" w:rsidRDefault="00022915" w:rsidP="00C53AB1">
            <w:pPr>
              <w:pStyle w:val="Tabletext0"/>
              <w:widowControl w:val="0"/>
              <w:spacing w:before="60"/>
              <w:rPr>
                <w:rFonts w:cs="Arial"/>
                <w:szCs w:val="20"/>
              </w:rPr>
            </w:pPr>
            <w:r w:rsidRPr="00104B57">
              <w:rPr>
                <w:rFonts w:cs="Arial"/>
                <w:szCs w:val="20"/>
              </w:rPr>
              <w:t>The analysis assumes that net benefits are directly passed on to residents and businesses, as a reasonable long-term assumption for councils.</w:t>
            </w:r>
          </w:p>
        </w:tc>
      </w:tr>
      <w:tr w:rsidR="00022915" w:rsidRPr="0095209A" w14:paraId="0B318149" w14:textId="77777777" w:rsidTr="00C53AB1">
        <w:trPr>
          <w:cantSplit/>
        </w:trPr>
        <w:tc>
          <w:tcPr>
            <w:tcW w:w="1896" w:type="dxa"/>
            <w:shd w:val="clear" w:color="auto" w:fill="auto"/>
          </w:tcPr>
          <w:p w14:paraId="409C4334" w14:textId="77777777" w:rsidR="00022915" w:rsidRPr="00566994" w:rsidRDefault="00022915" w:rsidP="00C53AB1">
            <w:pPr>
              <w:pStyle w:val="Tabletext0"/>
              <w:widowControl w:val="0"/>
              <w:spacing w:before="60"/>
              <w:rPr>
                <w:rFonts w:cs="Arial"/>
                <w:szCs w:val="20"/>
              </w:rPr>
            </w:pPr>
            <w:r w:rsidRPr="00566994">
              <w:rPr>
                <w:rFonts w:cs="Arial"/>
                <w:szCs w:val="20"/>
              </w:rPr>
              <w:t>Service providers (</w:t>
            </w:r>
            <w:r>
              <w:rPr>
                <w:rFonts w:cs="Arial"/>
                <w:szCs w:val="20"/>
                <w:lang w:eastAsia="en-AU"/>
              </w:rPr>
              <w:t>material recovery facilities</w:t>
            </w:r>
            <w:r w:rsidRPr="00566994">
              <w:rPr>
                <w:rFonts w:cs="Arial"/>
                <w:szCs w:val="20"/>
                <w:lang w:eastAsia="en-AU"/>
              </w:rPr>
              <w:t xml:space="preserve"> and refund point operators</w:t>
            </w:r>
            <w:r w:rsidRPr="00566994">
              <w:rPr>
                <w:rFonts w:cs="Arial"/>
                <w:szCs w:val="20"/>
              </w:rPr>
              <w:t>)</w:t>
            </w:r>
          </w:p>
        </w:tc>
        <w:tc>
          <w:tcPr>
            <w:tcW w:w="7176" w:type="dxa"/>
            <w:shd w:val="clear" w:color="auto" w:fill="auto"/>
          </w:tcPr>
          <w:p w14:paraId="45CAFE5A" w14:textId="77777777" w:rsidR="00022915" w:rsidRPr="00566994" w:rsidRDefault="00022915" w:rsidP="00C53AB1">
            <w:pPr>
              <w:pStyle w:val="Tabletext0"/>
              <w:widowControl w:val="0"/>
              <w:spacing w:before="60"/>
              <w:rPr>
                <w:rFonts w:cs="Arial"/>
                <w:szCs w:val="20"/>
              </w:rPr>
            </w:pPr>
            <w:r>
              <w:rPr>
                <w:rFonts w:cs="Arial"/>
                <w:szCs w:val="20"/>
                <w:lang w:eastAsia="en-AU"/>
              </w:rPr>
              <w:t>Material recovery facility</w:t>
            </w:r>
            <w:r w:rsidRPr="00421D13">
              <w:rPr>
                <w:rFonts w:cs="Arial"/>
                <w:szCs w:val="20"/>
                <w:lang w:eastAsia="en-AU"/>
              </w:rPr>
              <w:t xml:space="preserve"> </w:t>
            </w:r>
            <w:r w:rsidRPr="00566994">
              <w:rPr>
                <w:rFonts w:cs="Arial"/>
                <w:szCs w:val="20"/>
              </w:rPr>
              <w:t>impacts include:</w:t>
            </w:r>
          </w:p>
          <w:p w14:paraId="178CA215" w14:textId="77777777" w:rsidR="00022915" w:rsidRPr="00DA7A26" w:rsidRDefault="00022915" w:rsidP="00C53AB1">
            <w:pPr>
              <w:pStyle w:val="Tablebullets1stindent"/>
            </w:pPr>
            <w:r w:rsidRPr="00DA7A26">
              <w:t xml:space="preserve">reduced processing and lost value of recyclates; </w:t>
            </w:r>
            <w:r>
              <w:t>and</w:t>
            </w:r>
          </w:p>
          <w:p w14:paraId="0932BBE0" w14:textId="77777777" w:rsidR="00022915" w:rsidRPr="00DA7A26" w:rsidRDefault="00022915" w:rsidP="00C53AB1">
            <w:pPr>
              <w:pStyle w:val="Tablebullets1stindent"/>
            </w:pPr>
            <w:r w:rsidRPr="00DA7A26">
              <w:t>benefit from increased revenue (deposit redemptions) over and above additional operating costs</w:t>
            </w:r>
            <w:r>
              <w:t xml:space="preserve"> (which will be shared with the relevant LGA as described above)</w:t>
            </w:r>
            <w:r w:rsidRPr="00DA7A26">
              <w:t>.</w:t>
            </w:r>
          </w:p>
          <w:p w14:paraId="7A5E3559" w14:textId="77777777" w:rsidR="00022915" w:rsidRPr="00566994" w:rsidRDefault="00022915" w:rsidP="00C53AB1">
            <w:pPr>
              <w:pStyle w:val="Tabletext0"/>
              <w:widowControl w:val="0"/>
              <w:spacing w:before="60"/>
              <w:rPr>
                <w:rFonts w:cs="Arial"/>
                <w:szCs w:val="20"/>
                <w:highlight w:val="yellow"/>
              </w:rPr>
            </w:pPr>
            <w:r w:rsidRPr="00566994">
              <w:rPr>
                <w:rFonts w:cs="Arial"/>
                <w:szCs w:val="20"/>
              </w:rPr>
              <w:t>Refund point operators will incur capital and operating costs, but those costs are more than offset by handling fees.</w:t>
            </w:r>
          </w:p>
        </w:tc>
      </w:tr>
      <w:tr w:rsidR="00022915" w:rsidRPr="0095209A" w14:paraId="277700D6" w14:textId="77777777" w:rsidTr="00C53AB1">
        <w:trPr>
          <w:cantSplit/>
        </w:trPr>
        <w:tc>
          <w:tcPr>
            <w:tcW w:w="1896" w:type="dxa"/>
            <w:shd w:val="clear" w:color="auto" w:fill="auto"/>
          </w:tcPr>
          <w:p w14:paraId="05397B01" w14:textId="77777777" w:rsidR="00022915" w:rsidRPr="00566994" w:rsidRDefault="00022915" w:rsidP="00C53AB1">
            <w:pPr>
              <w:pStyle w:val="Tabletext0"/>
              <w:widowControl w:val="0"/>
              <w:spacing w:before="60"/>
              <w:rPr>
                <w:rFonts w:cs="Arial"/>
                <w:szCs w:val="20"/>
              </w:rPr>
            </w:pPr>
            <w:r w:rsidRPr="00566994">
              <w:rPr>
                <w:rFonts w:cs="Arial"/>
                <w:szCs w:val="20"/>
              </w:rPr>
              <w:t>Charities and community groups</w:t>
            </w:r>
          </w:p>
        </w:tc>
        <w:tc>
          <w:tcPr>
            <w:tcW w:w="7176" w:type="dxa"/>
            <w:shd w:val="clear" w:color="auto" w:fill="auto"/>
          </w:tcPr>
          <w:p w14:paraId="093092A9" w14:textId="77777777" w:rsidR="00022915" w:rsidRPr="00566994" w:rsidRDefault="00022915" w:rsidP="00C53AB1">
            <w:pPr>
              <w:pStyle w:val="Tabletext0"/>
              <w:widowControl w:val="0"/>
              <w:spacing w:before="60"/>
              <w:rPr>
                <w:rFonts w:cs="Arial"/>
                <w:szCs w:val="20"/>
              </w:rPr>
            </w:pPr>
            <w:r w:rsidRPr="00566994">
              <w:rPr>
                <w:rFonts w:cs="Arial"/>
                <w:szCs w:val="20"/>
              </w:rPr>
              <w:t xml:space="preserve">Charities and community groups, schools and sporting clubs that set up container return </w:t>
            </w:r>
            <w:r w:rsidRPr="0074519D">
              <w:rPr>
                <w:rFonts w:cs="Arial"/>
                <w:szCs w:val="20"/>
              </w:rPr>
              <w:t xml:space="preserve">points or </w:t>
            </w:r>
            <w:r w:rsidRPr="0074519D">
              <w:t xml:space="preserve">donation </w:t>
            </w:r>
            <w:r w:rsidRPr="0074519D">
              <w:rPr>
                <w:rFonts w:cs="Arial"/>
                <w:szCs w:val="20"/>
              </w:rPr>
              <w:t>points</w:t>
            </w:r>
            <w:r>
              <w:rPr>
                <w:rFonts w:cs="Arial"/>
                <w:szCs w:val="20"/>
              </w:rPr>
              <w:t xml:space="preserve"> </w:t>
            </w:r>
            <w:r w:rsidRPr="00566994">
              <w:rPr>
                <w:rFonts w:cs="Arial"/>
                <w:szCs w:val="20"/>
              </w:rPr>
              <w:t>as part of events or fundraising activities will benefit from the return of containers that would otherwise be captured by beverage consumers.  Due to uncertainties, those are not modelled quantitatively.</w:t>
            </w:r>
          </w:p>
        </w:tc>
      </w:tr>
      <w:tr w:rsidR="00022915" w:rsidRPr="0095209A" w14:paraId="68162937" w14:textId="77777777" w:rsidTr="00C53AB1">
        <w:trPr>
          <w:cantSplit/>
        </w:trPr>
        <w:tc>
          <w:tcPr>
            <w:tcW w:w="1896" w:type="dxa"/>
            <w:shd w:val="clear" w:color="auto" w:fill="auto"/>
          </w:tcPr>
          <w:p w14:paraId="1B67E85D" w14:textId="77777777" w:rsidR="00022915" w:rsidRPr="00566994" w:rsidRDefault="00022915" w:rsidP="00C53AB1">
            <w:pPr>
              <w:pStyle w:val="Tabletext0"/>
              <w:widowControl w:val="0"/>
              <w:spacing w:before="60"/>
              <w:rPr>
                <w:rFonts w:cs="Arial"/>
                <w:szCs w:val="20"/>
              </w:rPr>
            </w:pPr>
            <w:r w:rsidRPr="00566994">
              <w:rPr>
                <w:rFonts w:cs="Arial"/>
                <w:szCs w:val="20"/>
              </w:rPr>
              <w:t>Food and beverage industry</w:t>
            </w:r>
          </w:p>
        </w:tc>
        <w:tc>
          <w:tcPr>
            <w:tcW w:w="7176" w:type="dxa"/>
            <w:shd w:val="clear" w:color="auto" w:fill="auto"/>
          </w:tcPr>
          <w:p w14:paraId="7C49EA5C" w14:textId="77777777" w:rsidR="00022915" w:rsidRPr="00104B57" w:rsidRDefault="00022915" w:rsidP="00C53AB1">
            <w:pPr>
              <w:pStyle w:val="Tabletext0"/>
              <w:widowControl w:val="0"/>
              <w:spacing w:before="60"/>
              <w:rPr>
                <w:rFonts w:cs="Arial"/>
                <w:szCs w:val="20"/>
              </w:rPr>
            </w:pPr>
            <w:r w:rsidRPr="00104B57">
              <w:rPr>
                <w:rFonts w:cs="Arial"/>
                <w:szCs w:val="20"/>
              </w:rPr>
              <w:t xml:space="preserve">The food and beverage industry will incur costs associated with the transition to and implementation of the scheme.  </w:t>
            </w:r>
          </w:p>
          <w:p w14:paraId="3AB0BC90" w14:textId="77777777" w:rsidR="00022915" w:rsidRPr="00104B57" w:rsidRDefault="00022915" w:rsidP="00C53AB1">
            <w:pPr>
              <w:pStyle w:val="CommentText"/>
            </w:pPr>
            <w:r w:rsidRPr="00104B57">
              <w:t xml:space="preserve">Transition costs will be minimised by a 24 month transition period in which all eligible containers will be accepted without a refund mark, or with a non-compliant refund mark. This reflects the period suggested as adequate by the beverage and retail industries through the Beverage and Retail Technical Working Group and the Advisory Group.  </w:t>
            </w:r>
          </w:p>
          <w:p w14:paraId="293EC4F1" w14:textId="77777777" w:rsidR="00022915" w:rsidRPr="00566994" w:rsidRDefault="00022915" w:rsidP="00C53AB1">
            <w:pPr>
              <w:pStyle w:val="Tabletext0"/>
              <w:widowControl w:val="0"/>
              <w:spacing w:before="60"/>
              <w:rPr>
                <w:rFonts w:cs="Arial"/>
                <w:szCs w:val="20"/>
              </w:rPr>
            </w:pPr>
            <w:r w:rsidRPr="00104B57">
              <w:rPr>
                <w:rFonts w:cs="Arial"/>
                <w:szCs w:val="20"/>
              </w:rPr>
              <w:t>Any remaining costs could be partially offset by revenue from the scrap value of recyclates. Based on consultation with the industry in the preparation of this report, it is assumed that the vast majority of those costs will be passed on to consumers. However, the analysis assumes that some costs, particularly producer surplus-related impacts that result from reductions in beverages sold, cannot be passed on to consumers.</w:t>
            </w:r>
          </w:p>
        </w:tc>
      </w:tr>
      <w:tr w:rsidR="00022915" w:rsidRPr="0095209A" w14:paraId="22D8C089" w14:textId="77777777" w:rsidTr="00C53AB1">
        <w:trPr>
          <w:cantSplit/>
        </w:trPr>
        <w:tc>
          <w:tcPr>
            <w:tcW w:w="1896" w:type="dxa"/>
            <w:shd w:val="clear" w:color="auto" w:fill="auto"/>
          </w:tcPr>
          <w:p w14:paraId="353810C0" w14:textId="77777777" w:rsidR="00022915" w:rsidRPr="00566994" w:rsidRDefault="00022915" w:rsidP="00C53AB1">
            <w:pPr>
              <w:pStyle w:val="Tabletext0"/>
              <w:widowControl w:val="0"/>
              <w:spacing w:before="60"/>
              <w:rPr>
                <w:rFonts w:cs="Arial"/>
                <w:szCs w:val="20"/>
              </w:rPr>
            </w:pPr>
            <w:r w:rsidRPr="00566994">
              <w:rPr>
                <w:rFonts w:cs="Arial"/>
                <w:szCs w:val="20"/>
              </w:rPr>
              <w:t>Beverage consumers</w:t>
            </w:r>
            <w:r w:rsidRPr="002B6239">
              <w:rPr>
                <w:rFonts w:cs="Arial"/>
                <w:szCs w:val="20"/>
                <w:vertAlign w:val="superscript"/>
              </w:rPr>
              <w:t>c</w:t>
            </w:r>
          </w:p>
        </w:tc>
        <w:tc>
          <w:tcPr>
            <w:tcW w:w="7176" w:type="dxa"/>
            <w:shd w:val="clear" w:color="auto" w:fill="auto"/>
          </w:tcPr>
          <w:p w14:paraId="42E7738F" w14:textId="77777777" w:rsidR="00022915" w:rsidRPr="00BD6B24" w:rsidRDefault="00022915" w:rsidP="00C53AB1">
            <w:pPr>
              <w:pStyle w:val="Tabletext0"/>
              <w:widowControl w:val="0"/>
              <w:spacing w:before="60"/>
              <w:rPr>
                <w:rFonts w:cs="Arial"/>
                <w:szCs w:val="20"/>
              </w:rPr>
            </w:pPr>
            <w:r w:rsidRPr="00566994">
              <w:rPr>
                <w:rFonts w:cs="Arial"/>
                <w:szCs w:val="20"/>
              </w:rPr>
              <w:t>Consumer-related impacts include:</w:t>
            </w:r>
          </w:p>
          <w:p w14:paraId="44491EAC" w14:textId="77777777" w:rsidR="00022915" w:rsidRPr="00BD6B24" w:rsidRDefault="00022915" w:rsidP="00C53AB1">
            <w:pPr>
              <w:pStyle w:val="Tablebullets1stindent"/>
            </w:pPr>
            <w:r w:rsidRPr="00BD6B24">
              <w:t>price increases when scheme operation costs, deposits, handling fees and taxation are passed on;</w:t>
            </w:r>
            <w:r w:rsidRPr="00104B57">
              <w:rPr>
                <w:vertAlign w:val="superscript"/>
              </w:rPr>
              <w:t>b</w:t>
            </w:r>
          </w:p>
          <w:p w14:paraId="442A91A3" w14:textId="77777777" w:rsidR="00022915" w:rsidRPr="00DA7A26" w:rsidRDefault="00022915" w:rsidP="00C53AB1">
            <w:pPr>
              <w:pStyle w:val="Tablebullets1stindent"/>
            </w:pPr>
            <w:r w:rsidRPr="00DA7A26">
              <w:t>participation costs; and</w:t>
            </w:r>
          </w:p>
          <w:p w14:paraId="3021FC4C" w14:textId="77777777" w:rsidR="00022915" w:rsidRPr="00DA7A26" w:rsidRDefault="00022915" w:rsidP="00C53AB1">
            <w:pPr>
              <w:pStyle w:val="Tablebullets1stindent"/>
            </w:pPr>
            <w:r w:rsidRPr="00DA7A26">
              <w:t>reduced waste management charges.</w:t>
            </w:r>
          </w:p>
        </w:tc>
      </w:tr>
      <w:tr w:rsidR="00022915" w:rsidRPr="0095209A" w14:paraId="535E7280" w14:textId="77777777" w:rsidTr="00C53AB1">
        <w:trPr>
          <w:cantSplit/>
        </w:trPr>
        <w:tc>
          <w:tcPr>
            <w:tcW w:w="1896" w:type="dxa"/>
            <w:shd w:val="clear" w:color="auto" w:fill="auto"/>
          </w:tcPr>
          <w:p w14:paraId="705F01D6" w14:textId="77777777" w:rsidR="00022915" w:rsidRPr="00566994" w:rsidRDefault="00022915" w:rsidP="00C53AB1">
            <w:pPr>
              <w:pStyle w:val="Tabletext0"/>
              <w:keepLines/>
              <w:widowControl w:val="0"/>
              <w:spacing w:before="60"/>
              <w:rPr>
                <w:rFonts w:cs="Arial"/>
                <w:szCs w:val="20"/>
              </w:rPr>
            </w:pPr>
            <w:r w:rsidRPr="00566994">
              <w:rPr>
                <w:rFonts w:cs="Arial"/>
                <w:szCs w:val="20"/>
              </w:rPr>
              <w:t>Environment</w:t>
            </w:r>
          </w:p>
        </w:tc>
        <w:tc>
          <w:tcPr>
            <w:tcW w:w="7176" w:type="dxa"/>
            <w:shd w:val="clear" w:color="auto" w:fill="auto"/>
          </w:tcPr>
          <w:p w14:paraId="07D6662F" w14:textId="77777777" w:rsidR="00022915" w:rsidRPr="00566994" w:rsidRDefault="00022915" w:rsidP="00C53AB1">
            <w:pPr>
              <w:pStyle w:val="Tabletext0"/>
              <w:widowControl w:val="0"/>
              <w:spacing w:before="60"/>
              <w:rPr>
                <w:rFonts w:cs="Arial"/>
                <w:szCs w:val="20"/>
              </w:rPr>
            </w:pPr>
            <w:r w:rsidRPr="00566994">
              <w:rPr>
                <w:rFonts w:cs="Arial"/>
                <w:szCs w:val="20"/>
              </w:rPr>
              <w:t>Environmental impacts include:</w:t>
            </w:r>
          </w:p>
          <w:p w14:paraId="471ABADE" w14:textId="77777777" w:rsidR="00022915" w:rsidRPr="00DA7A26" w:rsidRDefault="00022915" w:rsidP="00C53AB1">
            <w:pPr>
              <w:pStyle w:val="Tablebullets1stindent"/>
            </w:pPr>
            <w:r w:rsidRPr="00DA7A26">
              <w:t>reduced landfill externalities;</w:t>
            </w:r>
          </w:p>
          <w:p w14:paraId="677FAD6A" w14:textId="77777777" w:rsidR="00022915" w:rsidRPr="00DA7A26" w:rsidRDefault="00022915" w:rsidP="00C53AB1">
            <w:pPr>
              <w:pStyle w:val="Tablebullets1stindent"/>
            </w:pPr>
            <w:r w:rsidRPr="00DA7A26">
              <w:t>reduced litter externalities; and</w:t>
            </w:r>
          </w:p>
          <w:p w14:paraId="282CA263" w14:textId="77777777" w:rsidR="00022915" w:rsidRPr="00DA7A26" w:rsidRDefault="00022915" w:rsidP="00C53AB1">
            <w:pPr>
              <w:pStyle w:val="Tablebullets1stindent"/>
            </w:pPr>
            <w:r w:rsidRPr="00DA7A26">
              <w:t>increased recycling.</w:t>
            </w:r>
          </w:p>
        </w:tc>
      </w:tr>
      <w:tr w:rsidR="00022915" w:rsidRPr="0095209A" w14:paraId="7CE068AE" w14:textId="77777777" w:rsidTr="00C53AB1">
        <w:trPr>
          <w:cantSplit/>
        </w:trPr>
        <w:tc>
          <w:tcPr>
            <w:tcW w:w="1896" w:type="dxa"/>
            <w:shd w:val="clear" w:color="auto" w:fill="auto"/>
          </w:tcPr>
          <w:p w14:paraId="695B7DBA" w14:textId="77777777" w:rsidR="00022915" w:rsidRPr="00566994" w:rsidRDefault="00022915" w:rsidP="00C53AB1">
            <w:pPr>
              <w:pStyle w:val="Tabletext0"/>
              <w:widowControl w:val="0"/>
              <w:spacing w:before="60"/>
              <w:rPr>
                <w:rFonts w:cs="Arial"/>
                <w:szCs w:val="20"/>
              </w:rPr>
            </w:pPr>
            <w:r w:rsidRPr="00566994">
              <w:rPr>
                <w:rFonts w:cs="Arial"/>
                <w:szCs w:val="20"/>
              </w:rPr>
              <w:t>Other</w:t>
            </w:r>
          </w:p>
        </w:tc>
        <w:tc>
          <w:tcPr>
            <w:tcW w:w="7176" w:type="dxa"/>
            <w:shd w:val="clear" w:color="auto" w:fill="auto"/>
          </w:tcPr>
          <w:p w14:paraId="75F3319E" w14:textId="77777777" w:rsidR="00022915" w:rsidRPr="00566994" w:rsidRDefault="00022915" w:rsidP="00C53AB1">
            <w:pPr>
              <w:pStyle w:val="Tabletext0"/>
              <w:widowControl w:val="0"/>
              <w:spacing w:before="60"/>
              <w:rPr>
                <w:rFonts w:cs="Arial"/>
                <w:szCs w:val="20"/>
                <w:highlight w:val="yellow"/>
              </w:rPr>
            </w:pPr>
            <w:r w:rsidRPr="00566994">
              <w:rPr>
                <w:rFonts w:cs="Arial"/>
                <w:szCs w:val="20"/>
              </w:rPr>
              <w:t>Change in harm to others (externality impacts) from a reduction in alcohol consumption is likely.</w:t>
            </w:r>
          </w:p>
          <w:p w14:paraId="0DC36D91" w14:textId="77777777" w:rsidR="00022915" w:rsidRPr="00566994" w:rsidRDefault="00022915" w:rsidP="00C53AB1">
            <w:pPr>
              <w:pStyle w:val="Tabletext0"/>
              <w:widowControl w:val="0"/>
              <w:spacing w:before="60"/>
              <w:rPr>
                <w:rFonts w:cs="Arial"/>
                <w:szCs w:val="20"/>
              </w:rPr>
            </w:pPr>
            <w:r w:rsidRPr="00566994">
              <w:rPr>
                <w:rFonts w:cs="Arial"/>
                <w:szCs w:val="20"/>
              </w:rPr>
              <w:t>Change in employment opportunities for long-term involuntarily unemployed people</w:t>
            </w:r>
            <w:r>
              <w:rPr>
                <w:rFonts w:cs="Arial"/>
                <w:szCs w:val="20"/>
              </w:rPr>
              <w:t xml:space="preserve"> and people with disabilities</w:t>
            </w:r>
            <w:r w:rsidRPr="00566994">
              <w:rPr>
                <w:rFonts w:cs="Arial"/>
                <w:szCs w:val="20"/>
              </w:rPr>
              <w:t>, resulting from social enterprise initiatives at beverage container redemption points</w:t>
            </w:r>
            <w:r>
              <w:t xml:space="preserve"> and processing facilities</w:t>
            </w:r>
            <w:r w:rsidRPr="00566994">
              <w:rPr>
                <w:rFonts w:cs="Arial"/>
                <w:szCs w:val="20"/>
              </w:rPr>
              <w:t xml:space="preserve">, is likely.  </w:t>
            </w:r>
          </w:p>
          <w:p w14:paraId="1D4F0E32" w14:textId="77777777" w:rsidR="00022915" w:rsidRPr="00566994" w:rsidRDefault="00022915" w:rsidP="00C53AB1">
            <w:pPr>
              <w:pStyle w:val="Tabletext0"/>
              <w:widowControl w:val="0"/>
              <w:spacing w:before="60"/>
              <w:rPr>
                <w:rFonts w:cs="Arial"/>
                <w:szCs w:val="20"/>
                <w:highlight w:val="yellow"/>
              </w:rPr>
            </w:pPr>
            <w:r w:rsidRPr="00566994">
              <w:rPr>
                <w:rFonts w:cs="Arial"/>
                <w:szCs w:val="20"/>
              </w:rPr>
              <w:t>Due to uncertainties, these changes are not modelled quantitatively.</w:t>
            </w:r>
          </w:p>
        </w:tc>
      </w:tr>
    </w:tbl>
    <w:p w14:paraId="481CD738" w14:textId="77777777" w:rsidR="00022915" w:rsidRPr="0076117F" w:rsidRDefault="00022915" w:rsidP="00022915">
      <w:pPr>
        <w:pStyle w:val="DWERSource"/>
        <w:rPr>
          <w:lang w:eastAsia="en-AU"/>
        </w:rPr>
      </w:pPr>
      <w:r w:rsidRPr="00430C1C">
        <w:rPr>
          <w:lang w:eastAsia="en-AU"/>
        </w:rPr>
        <w:t>a</w:t>
      </w:r>
      <w:r>
        <w:rPr>
          <w:lang w:eastAsia="en-AU"/>
        </w:rPr>
        <w:t>.</w:t>
      </w:r>
      <w:r w:rsidRPr="00430C1C">
        <w:rPr>
          <w:lang w:eastAsia="en-AU"/>
        </w:rPr>
        <w:tab/>
      </w:r>
      <w:r>
        <w:rPr>
          <w:lang w:eastAsia="en-AU"/>
        </w:rPr>
        <w:t xml:space="preserve">CGC </w:t>
      </w:r>
      <w:r w:rsidRPr="00430C1C">
        <w:rPr>
          <w:lang w:eastAsia="en-AU"/>
        </w:rPr>
        <w:t>201</w:t>
      </w:r>
      <w:r>
        <w:rPr>
          <w:lang w:eastAsia="en-AU"/>
        </w:rPr>
        <w:t>7</w:t>
      </w:r>
      <w:r w:rsidRPr="0076117F">
        <w:t>.</w:t>
      </w:r>
    </w:p>
    <w:p w14:paraId="15794A80" w14:textId="77777777" w:rsidR="00022915" w:rsidRDefault="00022915" w:rsidP="00022915">
      <w:pPr>
        <w:pStyle w:val="DWERSource"/>
        <w:rPr>
          <w:lang w:eastAsia="en-AU"/>
        </w:rPr>
      </w:pPr>
      <w:r w:rsidRPr="00430C1C">
        <w:rPr>
          <w:lang w:eastAsia="en-AU"/>
        </w:rPr>
        <w:t>b</w:t>
      </w:r>
      <w:r>
        <w:rPr>
          <w:lang w:eastAsia="en-AU"/>
        </w:rPr>
        <w:t>.</w:t>
      </w:r>
      <w:r w:rsidRPr="00430C1C">
        <w:rPr>
          <w:lang w:eastAsia="en-AU"/>
        </w:rPr>
        <w:tab/>
        <w:t xml:space="preserve">The </w:t>
      </w:r>
      <w:r>
        <w:rPr>
          <w:lang w:eastAsia="en-AU"/>
        </w:rPr>
        <w:t>impacts</w:t>
      </w:r>
      <w:r w:rsidRPr="00430C1C">
        <w:rPr>
          <w:lang w:eastAsia="en-AU"/>
        </w:rPr>
        <w:t xml:space="preserve"> of price changes on consumption were considered but were not quantified due to uncertainty </w:t>
      </w:r>
      <w:r>
        <w:rPr>
          <w:lang w:eastAsia="en-AU"/>
        </w:rPr>
        <w:t>about</w:t>
      </w:r>
      <w:r w:rsidRPr="00430C1C">
        <w:rPr>
          <w:lang w:eastAsia="en-AU"/>
        </w:rPr>
        <w:t xml:space="preserve"> price elasticity for different kinds of beverages.  In addition, there would be flow</w:t>
      </w:r>
      <w:r>
        <w:rPr>
          <w:lang w:eastAsia="en-AU"/>
        </w:rPr>
        <w:noBreakHyphen/>
      </w:r>
      <w:r w:rsidRPr="00430C1C">
        <w:rPr>
          <w:lang w:eastAsia="en-AU"/>
        </w:rPr>
        <w:t>on effects</w:t>
      </w:r>
      <w:r>
        <w:rPr>
          <w:lang w:eastAsia="en-AU"/>
        </w:rPr>
        <w:t>,</w:t>
      </w:r>
      <w:r w:rsidRPr="00430C1C">
        <w:rPr>
          <w:lang w:eastAsia="en-AU"/>
        </w:rPr>
        <w:t xml:space="preserve"> such as potential health costs and benefits</w:t>
      </w:r>
      <w:r>
        <w:rPr>
          <w:lang w:eastAsia="en-AU"/>
        </w:rPr>
        <w:t>,</w:t>
      </w:r>
      <w:r w:rsidRPr="00430C1C">
        <w:rPr>
          <w:lang w:eastAsia="en-AU"/>
        </w:rPr>
        <w:t xml:space="preserve"> from any changes in consumer behaviour.  </w:t>
      </w:r>
    </w:p>
    <w:p w14:paraId="692BCB17" w14:textId="77777777" w:rsidR="00022915" w:rsidRPr="00430C1C" w:rsidRDefault="00022915" w:rsidP="00022915">
      <w:pPr>
        <w:pStyle w:val="DWERSource"/>
        <w:rPr>
          <w:lang w:eastAsia="en-AU"/>
        </w:rPr>
      </w:pPr>
      <w:r>
        <w:rPr>
          <w:lang w:eastAsia="en-AU"/>
        </w:rPr>
        <w:t>c.</w:t>
      </w:r>
      <w:r>
        <w:rPr>
          <w:lang w:eastAsia="en-AU"/>
        </w:rPr>
        <w:tab/>
      </w:r>
      <w:r>
        <w:t>Note: rate payers are not discussed separately to avoid double counting.</w:t>
      </w:r>
    </w:p>
    <w:p w14:paraId="501B3335" w14:textId="77777777" w:rsidR="00022915" w:rsidRPr="00D67FDF" w:rsidRDefault="00022915" w:rsidP="00022915">
      <w:pPr>
        <w:pStyle w:val="Heading3"/>
      </w:pPr>
      <w:bookmarkStart w:id="169" w:name="_Toc506552667"/>
      <w:r w:rsidRPr="00D67FDF">
        <w:t>Results of distributional impact analysis</w:t>
      </w:r>
      <w:bookmarkEnd w:id="169"/>
    </w:p>
    <w:p w14:paraId="3E8849C7" w14:textId="77777777" w:rsidR="00022915" w:rsidRDefault="00022915" w:rsidP="00022915">
      <w:r w:rsidRPr="00715E4A">
        <w:t>The CDS requires additional expenditure to fund litter and recycling outcomes. The</w:t>
      </w:r>
      <w:r>
        <w:t> </w:t>
      </w:r>
      <w:r w:rsidRPr="00715E4A">
        <w:t xml:space="preserve">outcomes of the distribution analysis are </w:t>
      </w:r>
      <w:r w:rsidRPr="008C3355">
        <w:t xml:space="preserve">summarised in </w:t>
      </w:r>
      <w:r w:rsidRPr="008C3355">
        <w:fldChar w:fldCharType="begin"/>
      </w:r>
      <w:r w:rsidRPr="008C3355">
        <w:instrText xml:space="preserve"> REF _Ref506543233 \h </w:instrText>
      </w:r>
      <w:r>
        <w:instrText xml:space="preserve"> \* MERGEFORMAT </w:instrText>
      </w:r>
      <w:r w:rsidRPr="008C3355">
        <w:fldChar w:fldCharType="separate"/>
      </w:r>
      <w:r w:rsidRPr="00222881">
        <w:t xml:space="preserve">Figure </w:t>
      </w:r>
      <w:r>
        <w:rPr>
          <w:noProof/>
        </w:rPr>
        <w:t>6</w:t>
      </w:r>
      <w:r w:rsidRPr="008C3355">
        <w:fldChar w:fldCharType="end"/>
      </w:r>
      <w:r w:rsidRPr="008C3355">
        <w:t>.</w:t>
      </w:r>
      <w:r>
        <w:t xml:space="preserve"> </w:t>
      </w:r>
      <w:r w:rsidRPr="008C3355">
        <w:t xml:space="preserve"> The</w:t>
      </w:r>
      <w:r>
        <w:t> </w:t>
      </w:r>
      <w:r w:rsidRPr="00715E4A">
        <w:t xml:space="preserve">analysis highlights where stakeholder groups benefiting from the scheme differ from the stakeholder groups that ultimately bear the costs of </w:t>
      </w:r>
      <w:r>
        <w:t xml:space="preserve">the </w:t>
      </w:r>
      <w:r w:rsidRPr="00715E4A">
        <w:t>additional expenditure.</w:t>
      </w:r>
    </w:p>
    <w:p w14:paraId="0D8322C0" w14:textId="77777777" w:rsidR="00022915" w:rsidRPr="00F947F3" w:rsidRDefault="00022915" w:rsidP="00022915">
      <w:pPr>
        <w:pStyle w:val="Caption"/>
      </w:pPr>
      <w:bookmarkStart w:id="170" w:name="_Ref506543233"/>
      <w:bookmarkStart w:id="171" w:name="_Toc506554050"/>
      <w:bookmarkStart w:id="172" w:name="_Toc10031207"/>
      <w:r w:rsidRPr="00222881">
        <w:t xml:space="preserve">Figure </w:t>
      </w:r>
      <w:r w:rsidR="00CF34D3">
        <w:rPr>
          <w:noProof/>
        </w:rPr>
        <w:fldChar w:fldCharType="begin"/>
      </w:r>
      <w:r w:rsidR="00CF34D3">
        <w:rPr>
          <w:noProof/>
        </w:rPr>
        <w:instrText xml:space="preserve"> SEQ Figure \* ARABIC </w:instrText>
      </w:r>
      <w:r w:rsidR="00CF34D3">
        <w:rPr>
          <w:noProof/>
        </w:rPr>
        <w:fldChar w:fldCharType="separate"/>
      </w:r>
      <w:r>
        <w:rPr>
          <w:noProof/>
        </w:rPr>
        <w:t>6</w:t>
      </w:r>
      <w:r w:rsidR="00CF34D3">
        <w:rPr>
          <w:noProof/>
        </w:rPr>
        <w:fldChar w:fldCharType="end"/>
      </w:r>
      <w:bookmarkEnd w:id="170"/>
      <w:r w:rsidRPr="00222881">
        <w:t>: Distributional analysis ($ million, net present value)</w:t>
      </w:r>
      <w:bookmarkEnd w:id="171"/>
      <w:bookmarkEnd w:id="172"/>
    </w:p>
    <w:p w14:paraId="7AD8CFDA" w14:textId="77777777" w:rsidR="00022915" w:rsidRDefault="00022915" w:rsidP="00022915">
      <w:r>
        <w:rPr>
          <w:noProof/>
          <w:lang w:eastAsia="en-AU"/>
        </w:rPr>
        <w:drawing>
          <wp:inline distT="0" distB="0" distL="0" distR="0" wp14:anchorId="3B8EF0B1" wp14:editId="75B48559">
            <wp:extent cx="5628442" cy="3207015"/>
            <wp:effectExtent l="0" t="0" r="0" b="0"/>
            <wp:docPr id="12" name="Picture 12" descr="Graph showing the distribution of costs and benefits by different stakehold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3975" cy="3221563"/>
                    </a:xfrm>
                    <a:prstGeom prst="rect">
                      <a:avLst/>
                    </a:prstGeom>
                    <a:noFill/>
                  </pic:spPr>
                </pic:pic>
              </a:graphicData>
            </a:graphic>
          </wp:inline>
        </w:drawing>
      </w:r>
    </w:p>
    <w:p w14:paraId="6AAACF8F" w14:textId="77777777" w:rsidR="00022915" w:rsidRPr="00430C1C" w:rsidRDefault="00022915" w:rsidP="00022915">
      <w:pPr>
        <w:pStyle w:val="DWERSource"/>
        <w:rPr>
          <w:lang w:eastAsia="en-AU"/>
        </w:rPr>
      </w:pPr>
      <w:r w:rsidRPr="00430C1C">
        <w:rPr>
          <w:lang w:eastAsia="en-AU"/>
        </w:rPr>
        <w:t xml:space="preserve">Source: </w:t>
      </w:r>
      <w:r w:rsidRPr="00DA7A26">
        <w:t>Marsden</w:t>
      </w:r>
      <w:r w:rsidRPr="00430C1C">
        <w:rPr>
          <w:lang w:eastAsia="en-AU"/>
        </w:rPr>
        <w:t xml:space="preserve"> Jacob Associates, 201</w:t>
      </w:r>
      <w:r>
        <w:rPr>
          <w:lang w:eastAsia="en-AU"/>
        </w:rPr>
        <w:t>9</w:t>
      </w:r>
      <w:r w:rsidRPr="00430C1C">
        <w:rPr>
          <w:lang w:eastAsia="en-AU"/>
        </w:rPr>
        <w:t>.</w:t>
      </w:r>
    </w:p>
    <w:p w14:paraId="35E99A69" w14:textId="77777777" w:rsidR="00022915" w:rsidRPr="00D51BAB" w:rsidRDefault="00022915" w:rsidP="00022915">
      <w:r w:rsidRPr="00D51BAB">
        <w:t>The key conclusions from the distributional analysis are as follows:</w:t>
      </w:r>
    </w:p>
    <w:p w14:paraId="5DD5727A" w14:textId="77777777" w:rsidR="00022915" w:rsidRPr="00222881" w:rsidRDefault="00022915" w:rsidP="00022915">
      <w:pPr>
        <w:pStyle w:val="Bullets1stindent"/>
        <w:keepNext/>
        <w:spacing w:before="60" w:line="240" w:lineRule="auto"/>
      </w:pPr>
      <w:r w:rsidRPr="00222881">
        <w:t>Consumers experience the highest negative impact of $598 million (present value).</w:t>
      </w:r>
      <w:r w:rsidRPr="00222881">
        <w:rPr>
          <w:rStyle w:val="FootnoteReference"/>
        </w:rPr>
        <w:footnoteReference w:id="46"/>
      </w:r>
    </w:p>
    <w:p w14:paraId="6095A555" w14:textId="77777777" w:rsidR="00022915" w:rsidRPr="00222881" w:rsidRDefault="00022915" w:rsidP="00022915">
      <w:pPr>
        <w:pStyle w:val="Bullets1stindent"/>
        <w:spacing w:before="60" w:line="240" w:lineRule="auto"/>
      </w:pPr>
      <w:r w:rsidRPr="00222881">
        <w:t>The environment receives the highest benefit of $446 million</w:t>
      </w:r>
      <w:r w:rsidRPr="00222881">
        <w:rPr>
          <w:rFonts w:cs="Calibri"/>
        </w:rPr>
        <w:t>—</w:t>
      </w:r>
      <w:r w:rsidRPr="00222881">
        <w:t>a benefit that is (indirectly) experienced by residents of Western Australia (and thus beverage consumers).</w:t>
      </w:r>
    </w:p>
    <w:p w14:paraId="67F4A71C" w14:textId="77777777" w:rsidR="00022915" w:rsidRPr="00222881" w:rsidRDefault="00022915" w:rsidP="00022915">
      <w:pPr>
        <w:pStyle w:val="Bullets1stindent"/>
        <w:spacing w:before="60" w:line="240" w:lineRule="auto"/>
      </w:pPr>
      <w:r w:rsidRPr="00222881">
        <w:t>Service providers and governments also benefit from the introduction of a CDS.</w:t>
      </w:r>
    </w:p>
    <w:p w14:paraId="2FBBD954" w14:textId="77777777" w:rsidR="00022915" w:rsidRPr="00222881" w:rsidRDefault="00022915" w:rsidP="00022915">
      <w:r w:rsidRPr="00222881">
        <w:t>Community and charitable organisations may also benefit from the scheme by using the scheme as another way to raise funds or receive donations, or by partnering with the network operator to operate refund points.</w:t>
      </w:r>
    </w:p>
    <w:p w14:paraId="548D4488" w14:textId="77777777" w:rsidR="00022915" w:rsidRPr="00222881" w:rsidRDefault="00022915" w:rsidP="00022915">
      <w:r w:rsidRPr="00222881">
        <w:t>The drivers of overall results for each sector are discussed in the following sections.</w:t>
      </w:r>
    </w:p>
    <w:p w14:paraId="4A8AE727" w14:textId="77777777" w:rsidR="00022915" w:rsidRPr="00222881" w:rsidRDefault="00022915" w:rsidP="00022915">
      <w:pPr>
        <w:pStyle w:val="Heading3"/>
      </w:pPr>
      <w:bookmarkStart w:id="173" w:name="_Toc506552668"/>
      <w:r w:rsidRPr="00222881">
        <w:t>Western Australian Government</w:t>
      </w:r>
      <w:bookmarkEnd w:id="173"/>
    </w:p>
    <w:p w14:paraId="4DD2A386" w14:textId="77777777" w:rsidR="00022915" w:rsidRPr="00222881" w:rsidRDefault="00022915" w:rsidP="00022915">
      <w:r w:rsidRPr="00222881">
        <w:t xml:space="preserve">The net impact to the Western Australian Government is a cost of $5 million. While the Government receives an increase in GST revenue due to the scheme, the development and ongoing administrative costs of the scheme outweigh those GST benefits.  The cost-benefit analysis assumes that the Western Australian Government receives four per cent of the GST revenue from the sale of beverage containers under the CDS. </w:t>
      </w:r>
    </w:p>
    <w:p w14:paraId="24D83C26" w14:textId="77777777" w:rsidR="00022915" w:rsidRPr="00222881" w:rsidRDefault="00022915" w:rsidP="00022915">
      <w:pPr>
        <w:pStyle w:val="Heading3"/>
      </w:pPr>
      <w:bookmarkStart w:id="174" w:name="_Ref506471583"/>
      <w:bookmarkStart w:id="175" w:name="_Toc506552669"/>
      <w:r w:rsidRPr="00222881">
        <w:t>Australian Government and governments of other states and territories</w:t>
      </w:r>
      <w:bookmarkEnd w:id="174"/>
      <w:bookmarkEnd w:id="175"/>
    </w:p>
    <w:p w14:paraId="168849EF" w14:textId="77777777" w:rsidR="00022915" w:rsidRPr="00222881" w:rsidRDefault="00022915" w:rsidP="00022915">
      <w:r w:rsidRPr="00222881">
        <w:t>Benefits to the Australian Government and other states and territories are driven by GST revenue.  The cost-benefit analysis assumes that 96 per cent of GST revenue from the sale of beverage containers is distributed to the Australian Government and other state and territory governments (Dale 2014). The net benefit for those governments is $57 million.</w:t>
      </w:r>
    </w:p>
    <w:p w14:paraId="05891E49" w14:textId="77777777" w:rsidR="00022915" w:rsidRPr="00222881" w:rsidRDefault="00022915" w:rsidP="00022915">
      <w:pPr>
        <w:pStyle w:val="Heading3"/>
      </w:pPr>
      <w:bookmarkStart w:id="176" w:name="_Toc506552670"/>
      <w:r w:rsidRPr="00222881">
        <w:t>Local governments</w:t>
      </w:r>
      <w:bookmarkEnd w:id="176"/>
    </w:p>
    <w:p w14:paraId="785B7C6E" w14:textId="77777777" w:rsidR="00022915" w:rsidRDefault="00022915" w:rsidP="00022915">
      <w:r w:rsidRPr="00222881">
        <w:t>Where municipal services are concerned, the net impact of the CDS on local</w:t>
      </w:r>
      <w:r w:rsidRPr="008C3355">
        <w:t xml:space="preserve"> </w:t>
      </w:r>
      <w:r>
        <w:t>g</w:t>
      </w:r>
      <w:r w:rsidRPr="008C3355">
        <w:t xml:space="preserve">overnments is zero. </w:t>
      </w:r>
      <w:r>
        <w:t xml:space="preserve"> </w:t>
      </w:r>
      <w:r w:rsidRPr="008C3355">
        <w:t xml:space="preserve">While service levels are not expected to change, this result is driven by the assumption that all cost savings from the reduced collection, transport, processing and </w:t>
      </w:r>
      <w:r w:rsidRPr="00F961A5">
        <w:t xml:space="preserve">disposal of kerbside rubbish and from recycling are passed through to residents and other customers.  </w:t>
      </w:r>
    </w:p>
    <w:p w14:paraId="68C184B7" w14:textId="77777777" w:rsidR="00022915" w:rsidRDefault="00022915" w:rsidP="00022915">
      <w:r w:rsidRPr="00104B57">
        <w:rPr>
          <w:rFonts w:cs="Arial"/>
          <w:szCs w:val="20"/>
        </w:rPr>
        <w:t xml:space="preserve">Benefits will also accrue to local governments through revenue sharing agreements with </w:t>
      </w:r>
      <w:r w:rsidRPr="00104B57">
        <w:rPr>
          <w:rFonts w:cs="Arial"/>
          <w:szCs w:val="20"/>
          <w:lang w:eastAsia="en-AU"/>
        </w:rPr>
        <w:t>Material recovery facilities</w:t>
      </w:r>
      <w:r>
        <w:rPr>
          <w:rFonts w:cs="Arial"/>
          <w:szCs w:val="20"/>
          <w:lang w:eastAsia="en-AU"/>
        </w:rPr>
        <w:t xml:space="preserve"> (described in </w:t>
      </w:r>
      <w:r>
        <w:rPr>
          <w:rFonts w:cs="Arial"/>
          <w:szCs w:val="20"/>
          <w:lang w:eastAsia="en-AU"/>
        </w:rPr>
        <w:fldChar w:fldCharType="begin"/>
      </w:r>
      <w:r>
        <w:rPr>
          <w:rFonts w:cs="Arial"/>
          <w:szCs w:val="20"/>
          <w:lang w:eastAsia="en-AU"/>
        </w:rPr>
        <w:instrText xml:space="preserve"> REF _Ref9439798 \h </w:instrText>
      </w:r>
      <w:r>
        <w:rPr>
          <w:rFonts w:cs="Arial"/>
          <w:szCs w:val="20"/>
          <w:lang w:eastAsia="en-AU"/>
        </w:rPr>
      </w:r>
      <w:r>
        <w:rPr>
          <w:rFonts w:cs="Arial"/>
          <w:szCs w:val="20"/>
          <w:lang w:eastAsia="en-AU"/>
        </w:rPr>
        <w:fldChar w:fldCharType="separate"/>
      </w:r>
      <w:r w:rsidRPr="0095209A">
        <w:t>Table</w:t>
      </w:r>
      <w:r>
        <w:t xml:space="preserve"> </w:t>
      </w:r>
      <w:r>
        <w:rPr>
          <w:noProof/>
        </w:rPr>
        <w:t>14</w:t>
      </w:r>
      <w:r>
        <w:rPr>
          <w:rFonts w:cs="Arial"/>
          <w:szCs w:val="20"/>
          <w:lang w:eastAsia="en-AU"/>
        </w:rPr>
        <w:fldChar w:fldCharType="end"/>
      </w:r>
      <w:r>
        <w:rPr>
          <w:rFonts w:cs="Arial"/>
          <w:szCs w:val="20"/>
          <w:lang w:eastAsia="en-AU"/>
        </w:rPr>
        <w:t>, above)</w:t>
      </w:r>
      <w:r w:rsidRPr="00104B57">
        <w:rPr>
          <w:rFonts w:cs="Arial"/>
          <w:szCs w:val="20"/>
        </w:rPr>
        <w:t>.</w:t>
      </w:r>
    </w:p>
    <w:p w14:paraId="630D4AF4" w14:textId="77777777" w:rsidR="00022915" w:rsidRPr="008C3355" w:rsidRDefault="00022915" w:rsidP="00022915">
      <w:r w:rsidRPr="00F961A5">
        <w:t>The cost-benefit</w:t>
      </w:r>
      <w:r>
        <w:t xml:space="preserve"> analysis</w:t>
      </w:r>
      <w:r w:rsidRPr="008C3355">
        <w:t xml:space="preserve"> </w:t>
      </w:r>
      <w:r>
        <w:t xml:space="preserve">assumes </w:t>
      </w:r>
      <w:r w:rsidRPr="008C3355">
        <w:t xml:space="preserve">benefits </w:t>
      </w:r>
      <w:r>
        <w:t xml:space="preserve">are </w:t>
      </w:r>
      <w:r w:rsidRPr="008C3355">
        <w:t>transferred from</w:t>
      </w:r>
      <w:r>
        <w:t xml:space="preserve"> Western Australian l</w:t>
      </w:r>
      <w:r w:rsidRPr="008C3355">
        <w:t xml:space="preserve">ocal </w:t>
      </w:r>
      <w:r>
        <w:t>g</w:t>
      </w:r>
      <w:r w:rsidRPr="008C3355">
        <w:t>overnments in their capacity as provider</w:t>
      </w:r>
      <w:r>
        <w:t>s</w:t>
      </w:r>
      <w:r w:rsidRPr="008C3355">
        <w:t xml:space="preserve"> of municipal services to customers of those services </w:t>
      </w:r>
      <w:r>
        <w:t xml:space="preserve">resulting in a </w:t>
      </w:r>
      <w:r w:rsidRPr="008C3355">
        <w:t xml:space="preserve">cost neutral ($0) </w:t>
      </w:r>
      <w:r>
        <w:t xml:space="preserve">for LGAs </w:t>
      </w:r>
      <w:r w:rsidRPr="008C3355">
        <w:t xml:space="preserve">over the </w:t>
      </w:r>
      <w:r w:rsidRPr="00E5387B">
        <w:t>20 year</w:t>
      </w:r>
      <w:r w:rsidRPr="008C3355">
        <w:t xml:space="preserve"> period.</w:t>
      </w:r>
    </w:p>
    <w:p w14:paraId="100150C1" w14:textId="77777777" w:rsidR="00022915" w:rsidRPr="00D67FDF" w:rsidRDefault="00022915" w:rsidP="00022915">
      <w:pPr>
        <w:pStyle w:val="Heading3"/>
      </w:pPr>
      <w:bookmarkStart w:id="177" w:name="_Toc506552671"/>
      <w:r w:rsidRPr="00D67FDF">
        <w:t>Service providers</w:t>
      </w:r>
      <w:bookmarkEnd w:id="177"/>
    </w:p>
    <w:p w14:paraId="1D83B4FC" w14:textId="77777777" w:rsidR="00022915" w:rsidRDefault="00022915" w:rsidP="00022915">
      <w:r w:rsidRPr="004B3D14">
        <w:t>Service providers (</w:t>
      </w:r>
      <w:r>
        <w:t>material recovery facilities and refund point operators</w:t>
      </w:r>
      <w:r w:rsidRPr="004B3D14">
        <w:t>) will benefit from expanded business opportunities and</w:t>
      </w:r>
      <w:r>
        <w:t>, in the case of the material recovery facilities,</w:t>
      </w:r>
      <w:r w:rsidRPr="004B3D14">
        <w:t xml:space="preserve"> a</w:t>
      </w:r>
      <w:r>
        <w:t> </w:t>
      </w:r>
      <w:r w:rsidRPr="004B3D14">
        <w:t>reduction in net processing costs.</w:t>
      </w:r>
      <w:r>
        <w:t xml:space="preserve"> </w:t>
      </w:r>
    </w:p>
    <w:p w14:paraId="60C2FC37" w14:textId="77777777" w:rsidR="00022915" w:rsidRDefault="00022915" w:rsidP="00022915">
      <w:r>
        <w:t xml:space="preserve">Material recovery facilities </w:t>
      </w:r>
      <w:r w:rsidRPr="004B3D14">
        <w:t xml:space="preserve">will </w:t>
      </w:r>
      <w:r>
        <w:t xml:space="preserve">also </w:t>
      </w:r>
      <w:r w:rsidRPr="004B3D14">
        <w:t xml:space="preserve">benefit from the redemption of deposits on containers that are returned </w:t>
      </w:r>
      <w:r w:rsidRPr="00F961A5">
        <w:t>through kerbside recycling</w:t>
      </w:r>
      <w:r>
        <w:t xml:space="preserve"> (which will be shared with LGAs)</w:t>
      </w:r>
      <w:r w:rsidRPr="00217397">
        <w:t xml:space="preserve">. </w:t>
      </w:r>
    </w:p>
    <w:p w14:paraId="3352AD90" w14:textId="77777777" w:rsidR="00022915" w:rsidRPr="004B3D14" w:rsidRDefault="00022915" w:rsidP="00022915">
      <w:r w:rsidRPr="00217397">
        <w:t xml:space="preserve">It is also expected that community not-for-profit and charitable organisations will partner with the network operator to operate </w:t>
      </w:r>
      <w:r>
        <w:t>refund</w:t>
      </w:r>
      <w:r w:rsidRPr="00217397">
        <w:t xml:space="preserve"> points </w:t>
      </w:r>
      <w:r>
        <w:t>(‘</w:t>
      </w:r>
      <w:r w:rsidRPr="00217397">
        <w:t>social enterprise sites</w:t>
      </w:r>
      <w:r>
        <w:t>’)</w:t>
      </w:r>
      <w:r w:rsidRPr="00217397">
        <w:t>.</w:t>
      </w:r>
      <w:r>
        <w:t xml:space="preserve">  Community not-for-profit and charitable organisations may also establish donation points where the community can donate containers for the organisation to then return the containers and collect the refunds for the organisation.</w:t>
      </w:r>
    </w:p>
    <w:p w14:paraId="05D93027" w14:textId="77777777" w:rsidR="00022915" w:rsidRPr="00D67FDF" w:rsidRDefault="00022915" w:rsidP="00022915">
      <w:pPr>
        <w:pStyle w:val="Heading3"/>
      </w:pPr>
      <w:bookmarkStart w:id="178" w:name="_Toc506552672"/>
      <w:r w:rsidRPr="00DA4829">
        <w:t>Beverage manufacturing industry</w:t>
      </w:r>
      <w:bookmarkEnd w:id="178"/>
    </w:p>
    <w:p w14:paraId="7818FC8A" w14:textId="77777777" w:rsidR="00022915" w:rsidRDefault="00022915" w:rsidP="00022915">
      <w:r w:rsidRPr="004B3D14">
        <w:t xml:space="preserve">The net </w:t>
      </w:r>
      <w:r>
        <w:t>impact</w:t>
      </w:r>
      <w:r w:rsidRPr="004B3D14">
        <w:t xml:space="preserve"> on the beverage manuf</w:t>
      </w:r>
      <w:r>
        <w:t>act</w:t>
      </w:r>
      <w:r w:rsidRPr="004B3D14">
        <w:t xml:space="preserve">uring industry is estimated to be </w:t>
      </w:r>
      <w:r>
        <w:t xml:space="preserve">zero, as it is assumed all costs will be passed on to consumers due to the low price elasticities (as discussed in the Appendix). </w:t>
      </w:r>
    </w:p>
    <w:p w14:paraId="719D390F" w14:textId="77777777" w:rsidR="00022915" w:rsidRPr="00D67FDF" w:rsidRDefault="00022915" w:rsidP="00022915">
      <w:pPr>
        <w:pStyle w:val="Heading3"/>
      </w:pPr>
      <w:bookmarkStart w:id="179" w:name="_Toc506552673"/>
      <w:r w:rsidRPr="00D67FDF">
        <w:t>Beverage consumers</w:t>
      </w:r>
      <w:bookmarkEnd w:id="179"/>
    </w:p>
    <w:p w14:paraId="37A2E943" w14:textId="77777777" w:rsidR="00022915" w:rsidRDefault="00022915" w:rsidP="00022915">
      <w:r w:rsidRPr="004B3D14">
        <w:t>Beverage consumers</w:t>
      </w:r>
      <w:r>
        <w:t xml:space="preserve"> and the membership of two related groups - residents</w:t>
      </w:r>
      <w:r w:rsidRPr="004B3D14">
        <w:t xml:space="preserve"> </w:t>
      </w:r>
      <w:r>
        <w:t xml:space="preserve">and rate payers, will overlap significantly.  As local governments will benefit from lower waste collection charges – these savings will either be passed through to rate payers as lower council rates or will benefit all residents as local governments are able to provide higher levels of service without additional charge. </w:t>
      </w:r>
    </w:p>
    <w:p w14:paraId="7FDB9012" w14:textId="77777777" w:rsidR="00022915" w:rsidRPr="004B3D14" w:rsidRDefault="00022915" w:rsidP="00022915">
      <w:r w:rsidRPr="004B3D14">
        <w:t xml:space="preserve">In addition, those people who deposit beverage containers at depots will receive the scheme refund of </w:t>
      </w:r>
      <w:r>
        <w:t>ten</w:t>
      </w:r>
      <w:r w:rsidRPr="004B3D14">
        <w:t xml:space="preserve"> cents per container.</w:t>
      </w:r>
    </w:p>
    <w:p w14:paraId="2532EF7D" w14:textId="77777777" w:rsidR="00022915" w:rsidRPr="0074519D" w:rsidRDefault="00022915" w:rsidP="00022915">
      <w:r w:rsidRPr="004B3D14">
        <w:t xml:space="preserve">Consumers will face higher prices for beverages covered by the scheme, as the scheme costs and increased compliance costs incurred by beverage </w:t>
      </w:r>
      <w:r>
        <w:t>manufacture</w:t>
      </w:r>
      <w:r w:rsidRPr="004B3D14">
        <w:t xml:space="preserve">rs </w:t>
      </w:r>
      <w:r>
        <w:t>are expected to</w:t>
      </w:r>
      <w:r w:rsidRPr="004B3D14">
        <w:t xml:space="preserve"> </w:t>
      </w:r>
      <w:r w:rsidRPr="0074519D">
        <w:t>ultimately be passed on to them.</w:t>
      </w:r>
      <w:r w:rsidRPr="0074519D">
        <w:rPr>
          <w:rStyle w:val="FootnoteReference"/>
        </w:rPr>
        <w:t xml:space="preserve"> </w:t>
      </w:r>
      <w:r w:rsidRPr="0074519D">
        <w:rPr>
          <w:rStyle w:val="FootnoteReference"/>
        </w:rPr>
        <w:footnoteReference w:id="47"/>
      </w:r>
      <w:r w:rsidRPr="0074519D">
        <w:t xml:space="preserve">  This is expected to occur due to the low price elasticities that are expected for a CDS - as discussed in the Appendix.</w:t>
      </w:r>
    </w:p>
    <w:p w14:paraId="2E1A4615" w14:textId="77777777" w:rsidR="00022915" w:rsidRPr="0074519D" w:rsidRDefault="00022915" w:rsidP="00022915">
      <w:r w:rsidRPr="0074519D">
        <w:t>The most recent information about prices increases to consumers is from IPART (2018 Dec) ‘NSW Container Deposit Scheme: Monitoring the impacts on container beverage prices and competition’ range from 4.2 cents to 11.6 cents per container subject to the type of container.  IPART assesses this to be consistent with a workably competitive market. IPART also found that there was no specific evidence of unintended market impacts on consumers but scheme efficiency should be improved.</w:t>
      </w:r>
    </w:p>
    <w:p w14:paraId="40FF6BE5" w14:textId="77777777" w:rsidR="00022915" w:rsidRPr="004B3D14" w:rsidRDefault="00022915" w:rsidP="00022915">
      <w:r w:rsidRPr="0074519D">
        <w:t>The impact of the scheme on consumers of beverages covered by the scheme</w:t>
      </w:r>
      <w:r w:rsidRPr="004B3D14">
        <w:t xml:space="preserve"> is </w:t>
      </w:r>
      <w:r w:rsidRPr="00745FB8">
        <w:t>$5</w:t>
      </w:r>
      <w:r>
        <w:t>98 </w:t>
      </w:r>
      <w:r w:rsidRPr="00745FB8">
        <w:t>million (NPV) over the 20</w:t>
      </w:r>
      <w:r>
        <w:t xml:space="preserve"> </w:t>
      </w:r>
      <w:r w:rsidRPr="00745FB8">
        <w:t>year period. As noted above, this equates to an</w:t>
      </w:r>
      <w:r>
        <w:t> </w:t>
      </w:r>
      <w:r w:rsidRPr="00745FB8">
        <w:t xml:space="preserve">annualised cost </w:t>
      </w:r>
      <w:r w:rsidRPr="00E0306C">
        <w:rPr>
          <w:highlight w:val="green"/>
        </w:rPr>
        <w:t>of $56 million</w:t>
      </w:r>
      <w:r w:rsidRPr="00745FB8">
        <w:t xml:space="preserve"> or </w:t>
      </w:r>
      <w:r w:rsidRPr="00E0306C">
        <w:rPr>
          <w:highlight w:val="green"/>
        </w:rPr>
        <w:t>42 cen</w:t>
      </w:r>
      <w:r w:rsidRPr="00745FB8">
        <w:t>ts per person per week, although consumers</w:t>
      </w:r>
      <w:r w:rsidRPr="004B3D14">
        <w:t xml:space="preserve"> are ultimately the primary beneficiaries from environmental benefits delivered by the</w:t>
      </w:r>
      <w:r>
        <w:t> </w:t>
      </w:r>
      <w:r w:rsidRPr="004B3D14">
        <w:t>scheme.</w:t>
      </w:r>
    </w:p>
    <w:p w14:paraId="21DB08FC" w14:textId="77777777" w:rsidR="00022915" w:rsidRPr="00D67FDF" w:rsidRDefault="00022915" w:rsidP="00022915">
      <w:pPr>
        <w:pStyle w:val="Heading3"/>
      </w:pPr>
      <w:bookmarkStart w:id="180" w:name="_Toc506552674"/>
      <w:r w:rsidRPr="00D67FDF">
        <w:t>The environment</w:t>
      </w:r>
      <w:bookmarkEnd w:id="180"/>
    </w:p>
    <w:p w14:paraId="6AF46863" w14:textId="77777777" w:rsidR="00022915" w:rsidRPr="00745FB8" w:rsidRDefault="00022915" w:rsidP="00022915">
      <w:r w:rsidRPr="004B3D14">
        <w:t>The main beneficiary from the</w:t>
      </w:r>
      <w:r>
        <w:t xml:space="preserve"> Western Australian CDS </w:t>
      </w:r>
      <w:r w:rsidRPr="004B3D14">
        <w:t>will be the environment</w:t>
      </w:r>
      <w:r>
        <w:t xml:space="preserve"> (land, waterways and marine areas)</w:t>
      </w:r>
      <w:r w:rsidRPr="004B3D14">
        <w:t xml:space="preserve">. As noted above, the community will be the primary beneficiaries from environmental improvement. The scheme is expected to </w:t>
      </w:r>
      <w:r w:rsidRPr="00745FB8">
        <w:t>enable $446</w:t>
      </w:r>
      <w:r>
        <w:t> </w:t>
      </w:r>
      <w:r w:rsidRPr="00745FB8">
        <w:t>million that would otherwise have been borne as costs by the environment to be retained by the environment.</w:t>
      </w:r>
    </w:p>
    <w:p w14:paraId="3D558AB0" w14:textId="77777777" w:rsidR="00022915" w:rsidRPr="00745FB8" w:rsidRDefault="00022915" w:rsidP="00022915">
      <w:r w:rsidRPr="00745FB8">
        <w:t>Benefits to the environment have been quantified as:</w:t>
      </w:r>
    </w:p>
    <w:p w14:paraId="15B64AFF" w14:textId="77777777" w:rsidR="00022915" w:rsidRPr="00222881" w:rsidRDefault="00022915" w:rsidP="00022915">
      <w:pPr>
        <w:pStyle w:val="Bullets1stindent"/>
        <w:spacing w:before="60" w:line="240" w:lineRule="auto"/>
      </w:pPr>
      <w:r w:rsidRPr="00745FB8">
        <w:t xml:space="preserve">avoided </w:t>
      </w:r>
      <w:r w:rsidRPr="00222881">
        <w:t>landfill externalities of $444,000; or</w:t>
      </w:r>
    </w:p>
    <w:p w14:paraId="0D67CFF0" w14:textId="77777777" w:rsidR="00022915" w:rsidRPr="00222881" w:rsidRDefault="00022915" w:rsidP="00022915">
      <w:pPr>
        <w:pStyle w:val="Bullets1stindent"/>
        <w:spacing w:before="60" w:line="240" w:lineRule="auto"/>
      </w:pPr>
      <w:r w:rsidRPr="00222881">
        <w:t>reduced litter costs of $445 million (based on the willingness to pay estimate).</w:t>
      </w:r>
    </w:p>
    <w:p w14:paraId="62A0DF9C" w14:textId="77777777" w:rsidR="00022915" w:rsidRPr="00222881" w:rsidRDefault="00022915" w:rsidP="00022915">
      <w:r w:rsidRPr="00222881">
        <w:t xml:space="preserve">Due to the potential overlap between these two benefits we consider the reduced litter benefit only. One respondent to the Consultation RIS - the Western Australian Local Government Authority identified a Western Australian estimate of the landfill externality.  However, as this value is not specific to beverage containers, it was not considered a better estimate than the current values used.  </w:t>
      </w:r>
    </w:p>
    <w:p w14:paraId="50AF5111" w14:textId="77777777" w:rsidR="00022915" w:rsidRPr="00222881" w:rsidRDefault="00022915" w:rsidP="00022915">
      <w:r w:rsidRPr="00222881">
        <w:t>This assessment omits any consideration of the benefits arising from reduced riverine and marine litter because they could not be quantified.</w:t>
      </w:r>
    </w:p>
    <w:p w14:paraId="70C5DA81" w14:textId="77777777" w:rsidR="00022915" w:rsidRPr="00D67FDF" w:rsidRDefault="00022915" w:rsidP="00022915">
      <w:pPr>
        <w:pStyle w:val="Heading3"/>
      </w:pPr>
      <w:bookmarkStart w:id="181" w:name="_Toc506552675"/>
      <w:r w:rsidRPr="00222881">
        <w:t>Regulatory burden measurement</w:t>
      </w:r>
      <w:bookmarkEnd w:id="181"/>
    </w:p>
    <w:p w14:paraId="715C8531" w14:textId="77777777" w:rsidR="00022915" w:rsidRPr="00183830" w:rsidRDefault="00022915" w:rsidP="00022915">
      <w:r w:rsidRPr="002158F6">
        <w:t>The</w:t>
      </w:r>
      <w:r>
        <w:t xml:space="preserve"> Western Australian </w:t>
      </w:r>
      <w:r w:rsidRPr="002158F6">
        <w:t>Better Regulation Unit require</w:t>
      </w:r>
      <w:r>
        <w:t>s</w:t>
      </w:r>
      <w:r w:rsidRPr="002158F6">
        <w:t xml:space="preserve"> the consideration of regulatory burden </w:t>
      </w:r>
      <w:r w:rsidRPr="00183830">
        <w:t>on businesses, community organisations or individuals as part of the</w:t>
      </w:r>
      <w:r>
        <w:t> </w:t>
      </w:r>
      <w:r w:rsidRPr="00183830">
        <w:t>RIS.</w:t>
      </w:r>
      <w:r w:rsidRPr="00183830">
        <w:rPr>
          <w:rStyle w:val="FootnoteReference"/>
        </w:rPr>
        <w:footnoteReference w:id="48"/>
      </w:r>
    </w:p>
    <w:p w14:paraId="056E8C3C" w14:textId="77777777" w:rsidR="00022915" w:rsidRPr="00183830" w:rsidRDefault="00022915" w:rsidP="00022915">
      <w:r w:rsidRPr="00183830">
        <w:t xml:space="preserve">The </w:t>
      </w:r>
      <w:r>
        <w:t>cost-benefit analysis</w:t>
      </w:r>
      <w:r w:rsidRPr="00183830">
        <w:t xml:space="preserve"> includes consideration of administrative compliance costs, substantive compliance costs and delay costs.  To avoid the double counting of costs on business that are then passed onto consumers, the </w:t>
      </w:r>
      <w:r>
        <w:t>cost-benefit analysis</w:t>
      </w:r>
      <w:r w:rsidRPr="00183830">
        <w:t xml:space="preserve"> assumes that most costs are paid by consumers.</w:t>
      </w:r>
    </w:p>
    <w:p w14:paraId="7D068EC5" w14:textId="77777777" w:rsidR="00022915" w:rsidRPr="00183830" w:rsidRDefault="00022915" w:rsidP="00022915">
      <w:r w:rsidRPr="00183830">
        <w:t>The analysis estimates that the regulatory burden of the CDS would be an average of $44.09</w:t>
      </w:r>
      <w:r>
        <w:t> </w:t>
      </w:r>
      <w:r w:rsidRPr="00183830">
        <w:t xml:space="preserve">million per annum over </w:t>
      </w:r>
      <w:r>
        <w:t>its</w:t>
      </w:r>
      <w:r w:rsidRPr="00183830">
        <w:t xml:space="preserve"> first </w:t>
      </w:r>
      <w:r>
        <w:t>ten</w:t>
      </w:r>
      <w:r w:rsidRPr="00183830">
        <w:t xml:space="preserve"> years.</w:t>
      </w:r>
    </w:p>
    <w:p w14:paraId="7FA00583" w14:textId="77777777" w:rsidR="00022915" w:rsidRDefault="00022915" w:rsidP="00022915">
      <w:pPr>
        <w:rPr>
          <w:rFonts w:ascii="Times New Roman" w:hAnsi="Times New Roman"/>
        </w:rPr>
      </w:pPr>
      <w:r w:rsidRPr="00183830">
        <w:t xml:space="preserve">The cost estimates used in this </w:t>
      </w:r>
      <w:r>
        <w:t>analysis</w:t>
      </w:r>
      <w:r w:rsidRPr="00183830">
        <w:t xml:space="preserve"> are consistent with cost used in other jurisdictions, which have received exemptions.</w:t>
      </w:r>
    </w:p>
    <w:p w14:paraId="39006CCC" w14:textId="77777777" w:rsidR="00022915" w:rsidRDefault="00022915" w:rsidP="00022915">
      <w:pPr>
        <w:pStyle w:val="Heading2"/>
      </w:pPr>
      <w:bookmarkStart w:id="182" w:name="_Toc506552676"/>
      <w:bookmarkStart w:id="183" w:name="_Toc9375377"/>
      <w:bookmarkStart w:id="184" w:name="_Ref499810571"/>
      <w:bookmarkStart w:id="185" w:name="_Ref499810585"/>
      <w:bookmarkStart w:id="186" w:name="_Toc500154259"/>
      <w:r>
        <w:t xml:space="preserve">Qualitative effects outside </w:t>
      </w:r>
      <w:bookmarkEnd w:id="182"/>
      <w:r>
        <w:t>Western Australia</w:t>
      </w:r>
      <w:bookmarkEnd w:id="183"/>
    </w:p>
    <w:bookmarkEnd w:id="184"/>
    <w:bookmarkEnd w:id="185"/>
    <w:bookmarkEnd w:id="186"/>
    <w:p w14:paraId="605AB1D6" w14:textId="77777777" w:rsidR="00022915" w:rsidRPr="00C472DA" w:rsidRDefault="00022915" w:rsidP="00022915">
      <w:pPr>
        <w:keepNext/>
      </w:pPr>
      <w:r w:rsidRPr="00C472DA">
        <w:t xml:space="preserve">The </w:t>
      </w:r>
      <w:r>
        <w:t>cost-benefit analysis</w:t>
      </w:r>
      <w:r w:rsidRPr="00183830">
        <w:t xml:space="preserve"> </w:t>
      </w:r>
      <w:r w:rsidRPr="00C472DA">
        <w:t xml:space="preserve">set out above considers the </w:t>
      </w:r>
      <w:r>
        <w:t>impact</w:t>
      </w:r>
      <w:r w:rsidRPr="00C472DA">
        <w:t xml:space="preserve"> of the reform on the economy and community of </w:t>
      </w:r>
      <w:r>
        <w:t>Western Australia</w:t>
      </w:r>
      <w:r w:rsidRPr="00C472DA">
        <w:t>.</w:t>
      </w:r>
    </w:p>
    <w:p w14:paraId="126555E2" w14:textId="77777777" w:rsidR="00022915" w:rsidRPr="001626A7" w:rsidRDefault="00022915" w:rsidP="00022915">
      <w:r w:rsidRPr="00C472DA">
        <w:t xml:space="preserve">While the quantitative analysis is focused on </w:t>
      </w:r>
      <w:r>
        <w:t>Western Australia</w:t>
      </w:r>
      <w:r w:rsidRPr="00C472DA">
        <w:t xml:space="preserve">, the </w:t>
      </w:r>
      <w:r>
        <w:t>impact</w:t>
      </w:r>
      <w:r w:rsidRPr="00C472DA">
        <w:t xml:space="preserve"> on other jurisdictions is expected to be small due to the alignment of the currently operating and CDS</w:t>
      </w:r>
      <w:r>
        <w:t xml:space="preserve"> </w:t>
      </w:r>
      <w:r w:rsidRPr="00C472DA">
        <w:t>in Australia and the limited opportunity to import containers into</w:t>
      </w:r>
      <w:r>
        <w:t xml:space="preserve"> Western Australia </w:t>
      </w:r>
      <w:r w:rsidRPr="00C472DA">
        <w:t>to collect refunds from states that do not have CDS.</w:t>
      </w:r>
    </w:p>
    <w:p w14:paraId="549C6B3C" w14:textId="77777777" w:rsidR="00022915" w:rsidRPr="00D67FDF" w:rsidRDefault="00022915" w:rsidP="00022915">
      <w:pPr>
        <w:pStyle w:val="Heading3"/>
      </w:pPr>
      <w:bookmarkStart w:id="187" w:name="_Toc506552677"/>
      <w:r w:rsidRPr="00D67FDF">
        <w:t xml:space="preserve">Neighbouring jurisdictions have a CDS </w:t>
      </w:r>
      <w:bookmarkEnd w:id="187"/>
    </w:p>
    <w:p w14:paraId="0FCAB61D" w14:textId="77777777" w:rsidR="00022915" w:rsidRDefault="00022915" w:rsidP="00022915">
      <w:r w:rsidRPr="00F970A9">
        <w:t xml:space="preserve">All </w:t>
      </w:r>
      <w:r>
        <w:t>Australian states and territories, except for Victoria, have either implemented a CDS scheme, or announced plans to introduce a scheme.</w:t>
      </w:r>
    </w:p>
    <w:p w14:paraId="6EB93DCA" w14:textId="77777777" w:rsidR="00022915" w:rsidRDefault="00022915" w:rsidP="00022915">
      <w:r>
        <w:t xml:space="preserve">Of the jurisdictions that border Western Australia, </w:t>
      </w:r>
      <w:r w:rsidRPr="00201DD7">
        <w:t>South Australia has a CDS</w:t>
      </w:r>
      <w:r>
        <w:rPr>
          <w:rStyle w:val="FootnoteReference"/>
        </w:rPr>
        <w:footnoteReference w:id="49"/>
      </w:r>
      <w:r w:rsidRPr="00201DD7">
        <w:t xml:space="preserve"> that has been in place since 1977</w:t>
      </w:r>
      <w:r>
        <w:t xml:space="preserve"> (APH Senate 2016) and the Northern Territory’s CDS (which was modelled on the South Australian scheme) has been in place since 2012 (Northern Territory Government 2012).</w:t>
      </w:r>
    </w:p>
    <w:p w14:paraId="5384649E" w14:textId="77777777" w:rsidR="00022915" w:rsidRPr="007F765C" w:rsidRDefault="00022915" w:rsidP="00022915">
      <w:r w:rsidRPr="007F765C">
        <w:t>On the east coast of Australia:</w:t>
      </w:r>
    </w:p>
    <w:p w14:paraId="1914F384" w14:textId="77777777" w:rsidR="00022915" w:rsidRPr="007F765C" w:rsidRDefault="00022915" w:rsidP="00022915">
      <w:pPr>
        <w:pStyle w:val="Bullets1stindent"/>
        <w:spacing w:before="60" w:line="240" w:lineRule="auto"/>
      </w:pPr>
      <w:r w:rsidRPr="007F765C">
        <w:t>N</w:t>
      </w:r>
      <w:r>
        <w:t>ew South Wales</w:t>
      </w:r>
      <w:r w:rsidRPr="007F765C">
        <w:t xml:space="preserve"> implemented a CDS </w:t>
      </w:r>
      <w:r>
        <w:t>o</w:t>
      </w:r>
      <w:r w:rsidRPr="007F765C">
        <w:t>n 1 December 2017</w:t>
      </w:r>
      <w:r>
        <w:t>;</w:t>
      </w:r>
      <w:r w:rsidRPr="007F765C">
        <w:rPr>
          <w:rStyle w:val="FootnoteReference"/>
        </w:rPr>
        <w:footnoteReference w:id="50"/>
      </w:r>
    </w:p>
    <w:p w14:paraId="53CEDAEE" w14:textId="77777777" w:rsidR="00022915" w:rsidRPr="007F765C" w:rsidRDefault="00022915" w:rsidP="00022915">
      <w:pPr>
        <w:pStyle w:val="Bullets1stindent"/>
        <w:spacing w:before="60" w:line="240" w:lineRule="auto"/>
      </w:pPr>
      <w:r w:rsidRPr="007F765C">
        <w:t>the</w:t>
      </w:r>
      <w:r>
        <w:t xml:space="preserve"> Australian Capital Territory </w:t>
      </w:r>
      <w:r w:rsidRPr="007F765C">
        <w:t xml:space="preserve">implemented a CDS </w:t>
      </w:r>
      <w:r>
        <w:t>o</w:t>
      </w:r>
      <w:r w:rsidRPr="007F765C">
        <w:t xml:space="preserve">n </w:t>
      </w:r>
      <w:r>
        <w:t>30 June 2018</w:t>
      </w:r>
      <w:r>
        <w:rPr>
          <w:rStyle w:val="FootnoteReference"/>
        </w:rPr>
        <w:footnoteReference w:id="51"/>
      </w:r>
      <w:r>
        <w:t>;</w:t>
      </w:r>
      <w:r w:rsidRPr="007F765C">
        <w:t xml:space="preserve"> </w:t>
      </w:r>
    </w:p>
    <w:p w14:paraId="41B1BD58" w14:textId="77777777" w:rsidR="00022915" w:rsidRDefault="00022915" w:rsidP="00022915">
      <w:pPr>
        <w:pStyle w:val="Bullets1stindent"/>
        <w:spacing w:before="60" w:line="240" w:lineRule="auto"/>
      </w:pPr>
      <w:r w:rsidRPr="007F765C">
        <w:t>the Queensland Government introduce</w:t>
      </w:r>
      <w:r>
        <w:t>d</w:t>
      </w:r>
      <w:r w:rsidRPr="007F765C">
        <w:t xml:space="preserve"> a CDS</w:t>
      </w:r>
      <w:r>
        <w:t xml:space="preserve"> on 1 November </w:t>
      </w:r>
      <w:r w:rsidRPr="007F765C">
        <w:t>2018</w:t>
      </w:r>
      <w:r>
        <w:t>;</w:t>
      </w:r>
      <w:r>
        <w:rPr>
          <w:rStyle w:val="FootnoteReference"/>
        </w:rPr>
        <w:footnoteReference w:id="52"/>
      </w:r>
      <w:r w:rsidRPr="0067523F">
        <w:t xml:space="preserve"> </w:t>
      </w:r>
      <w:r w:rsidRPr="007F765C">
        <w:t>and</w:t>
      </w:r>
    </w:p>
    <w:p w14:paraId="5AB9AD7D" w14:textId="77777777" w:rsidR="00022915" w:rsidRPr="007F765C" w:rsidRDefault="00022915" w:rsidP="00022915">
      <w:pPr>
        <w:pStyle w:val="Bullets1stindent"/>
        <w:spacing w:before="60" w:line="240" w:lineRule="auto"/>
      </w:pPr>
      <w:r>
        <w:t xml:space="preserve">Tasmania is </w:t>
      </w:r>
      <w:r w:rsidRPr="0067523F">
        <w:t>consid</w:t>
      </w:r>
      <w:r>
        <w:t xml:space="preserve">ering </w:t>
      </w:r>
      <w:r w:rsidRPr="0067523F">
        <w:t>establishing a CDS</w:t>
      </w:r>
      <w:r>
        <w:t xml:space="preserve"> (Groom 2017) and have published a report on </w:t>
      </w:r>
      <w:r w:rsidRPr="008C00FE">
        <w:t>a model Container Recovery Scheme</w:t>
      </w:r>
      <w:r w:rsidRPr="0067523F">
        <w:t>.</w:t>
      </w:r>
      <w:r>
        <w:rPr>
          <w:rStyle w:val="FootnoteReference"/>
        </w:rPr>
        <w:footnoteReference w:id="53"/>
      </w:r>
      <w:r>
        <w:t xml:space="preserve"> </w:t>
      </w:r>
    </w:p>
    <w:p w14:paraId="20416A0E" w14:textId="77777777" w:rsidR="00022915" w:rsidRPr="00D67FDF" w:rsidRDefault="00022915" w:rsidP="00022915">
      <w:pPr>
        <w:pStyle w:val="Heading3"/>
      </w:pPr>
      <w:bookmarkStart w:id="188" w:name="_Toc506552678"/>
      <w:r w:rsidRPr="00D67FDF">
        <w:t>Alignment with other jurisdictions to minimise red tape</w:t>
      </w:r>
      <w:bookmarkEnd w:id="188"/>
    </w:p>
    <w:p w14:paraId="088E662B" w14:textId="77777777" w:rsidR="00022915" w:rsidRDefault="00022915" w:rsidP="00022915">
      <w:r w:rsidRPr="00D23491">
        <w:t>The</w:t>
      </w:r>
      <w:r>
        <w:t xml:space="preserve"> Western Australian Government </w:t>
      </w:r>
      <w:r w:rsidRPr="00D23491">
        <w:t xml:space="preserve">has worked with the </w:t>
      </w:r>
      <w:r>
        <w:t xml:space="preserve">New South Wales, Queensland, </w:t>
      </w:r>
      <w:r w:rsidRPr="00D23491">
        <w:t xml:space="preserve">South Australian and Northern Territory </w:t>
      </w:r>
      <w:r w:rsidRPr="00A758B8">
        <w:t>governments to align the CDS wherever possible. This has included discussion and an in-principle agreement on a</w:t>
      </w:r>
      <w:r>
        <w:t> </w:t>
      </w:r>
      <w:r w:rsidRPr="00A758B8">
        <w:t xml:space="preserve">common refund mark that suppliers will be able to use in all </w:t>
      </w:r>
      <w:r>
        <w:t>participating s</w:t>
      </w:r>
      <w:r w:rsidRPr="00A758B8">
        <w:t xml:space="preserve">tates and </w:t>
      </w:r>
      <w:r>
        <w:t>t</w:t>
      </w:r>
      <w:r w:rsidRPr="00A758B8">
        <w:t xml:space="preserve">erritories. </w:t>
      </w:r>
    </w:p>
    <w:p w14:paraId="59F2333F" w14:textId="77777777" w:rsidR="00022915" w:rsidRPr="00D23491" w:rsidRDefault="00022915" w:rsidP="00022915">
      <w:r w:rsidRPr="00A758B8">
        <w:t>Co</w:t>
      </w:r>
      <w:r w:rsidRPr="00D23491">
        <w:t>nsistency across all jurisdictions will simplify the process for industry, minimise red tape and reduce the need for any future changes</w:t>
      </w:r>
      <w:r>
        <w:t xml:space="preserve"> to the refund marking</w:t>
      </w:r>
      <w:r w:rsidRPr="00D23491">
        <w:t>.</w:t>
      </w:r>
    </w:p>
    <w:p w14:paraId="3BA4D77F" w14:textId="77777777" w:rsidR="00022915" w:rsidRPr="00D67FDF" w:rsidRDefault="00022915" w:rsidP="00022915">
      <w:pPr>
        <w:pStyle w:val="Heading3"/>
      </w:pPr>
      <w:bookmarkStart w:id="189" w:name="_Toc506552679"/>
      <w:r w:rsidRPr="00D67FDF">
        <w:t>Cross-border movement of empty containers</w:t>
      </w:r>
      <w:bookmarkEnd w:id="189"/>
    </w:p>
    <w:p w14:paraId="3DEBF449" w14:textId="77777777" w:rsidR="00022915" w:rsidRDefault="00022915" w:rsidP="00022915">
      <w:r w:rsidRPr="00D23491">
        <w:t xml:space="preserve">As outlined above, </w:t>
      </w:r>
      <w:r>
        <w:t xml:space="preserve">the consistent approach to the CDS by Western Australia, New South Wales, Queensland, </w:t>
      </w:r>
      <w:r w:rsidRPr="00D23491">
        <w:t>South Australia</w:t>
      </w:r>
      <w:r>
        <w:t xml:space="preserve">, the Australian Capital Territory, and the </w:t>
      </w:r>
      <w:r w:rsidRPr="00D23491">
        <w:t xml:space="preserve">Northern Territory </w:t>
      </w:r>
      <w:r>
        <w:t xml:space="preserve">means that there is unlikely to be a net movement of containers between states that have CDS.  </w:t>
      </w:r>
    </w:p>
    <w:p w14:paraId="2007637F" w14:textId="77777777" w:rsidR="00022915" w:rsidRDefault="00022915" w:rsidP="00022915">
      <w:r>
        <w:t>For this reason, the introduction of the CDS in Western Australia is likely to reduce the c</w:t>
      </w:r>
      <w:r w:rsidRPr="0013570F">
        <w:t>ross</w:t>
      </w:r>
      <w:r>
        <w:noBreakHyphen/>
      </w:r>
      <w:r w:rsidRPr="0013570F">
        <w:t>border movement of empty containers</w:t>
      </w:r>
      <w:r>
        <w:t xml:space="preserve"> compared to the base case as both the Northern Territory and South Australia already have schemes in place.</w:t>
      </w:r>
    </w:p>
    <w:p w14:paraId="5680C3D8" w14:textId="77777777" w:rsidR="00022915" w:rsidRPr="00A758B8" w:rsidRDefault="00022915" w:rsidP="00022915">
      <w:r w:rsidRPr="00A758B8">
        <w:t>In addition,</w:t>
      </w:r>
      <w:r>
        <w:t xml:space="preserve"> Western Australia </w:t>
      </w:r>
      <w:r w:rsidRPr="00A758B8">
        <w:t>has a limited number of population centres (such as Kununurra and Eucla) that are close enough to the border for residents to consider the</w:t>
      </w:r>
      <w:r>
        <w:t> </w:t>
      </w:r>
      <w:r w:rsidRPr="00A758B8">
        <w:t xml:space="preserve">export of containers to be viable. </w:t>
      </w:r>
    </w:p>
    <w:p w14:paraId="24E624F7" w14:textId="77777777" w:rsidR="00022915" w:rsidRPr="00D67FDF" w:rsidRDefault="00022915" w:rsidP="00022915">
      <w:pPr>
        <w:pStyle w:val="Heading3"/>
      </w:pPr>
      <w:bookmarkStart w:id="190" w:name="_Toc506552680"/>
      <w:r w:rsidRPr="00D67FDF">
        <w:t xml:space="preserve">GST </w:t>
      </w:r>
      <w:bookmarkEnd w:id="190"/>
    </w:p>
    <w:p w14:paraId="2C24D5FF" w14:textId="77777777" w:rsidR="00022915" w:rsidRPr="00EE1D56" w:rsidRDefault="00022915" w:rsidP="00022915">
      <w:r>
        <w:t xml:space="preserve">As noted in the </w:t>
      </w:r>
      <w:r w:rsidRPr="00F27A02">
        <w:t xml:space="preserve">distributional analysis (Section </w:t>
      </w:r>
      <w:r w:rsidRPr="00F27A02">
        <w:fldChar w:fldCharType="begin"/>
      </w:r>
      <w:r w:rsidRPr="00F27A02">
        <w:instrText xml:space="preserve"> REF _Ref508658940 \r \h </w:instrText>
      </w:r>
      <w:r>
        <w:instrText xml:space="preserve"> \* MERGEFORMAT </w:instrText>
      </w:r>
      <w:r w:rsidRPr="00F27A02">
        <w:fldChar w:fldCharType="separate"/>
      </w:r>
      <w:r>
        <w:t>4.5</w:t>
      </w:r>
      <w:r w:rsidRPr="00F27A02">
        <w:fldChar w:fldCharType="end"/>
      </w:r>
      <w:r w:rsidRPr="00F27A02">
        <w:t>), the Au</w:t>
      </w:r>
      <w:r w:rsidRPr="00EE1D56">
        <w:t>stralian Government and other jurisdictions would benefit from additional GST collected under the</w:t>
      </w:r>
      <w:r>
        <w:t> </w:t>
      </w:r>
      <w:r w:rsidRPr="00EE1D56">
        <w:t xml:space="preserve">scheme. </w:t>
      </w:r>
      <w:r>
        <w:t xml:space="preserve"> </w:t>
      </w:r>
      <w:r w:rsidRPr="00EE1D56">
        <w:t>This would arise because the GST would apply to the deposit on each container.</w:t>
      </w:r>
      <w:r>
        <w:t xml:space="preserve">  </w:t>
      </w:r>
    </w:p>
    <w:p w14:paraId="1C326F4E" w14:textId="77777777" w:rsidR="00022915" w:rsidRPr="0086581E" w:rsidRDefault="00022915" w:rsidP="00022915">
      <w:r w:rsidRPr="00E077D4">
        <w:t xml:space="preserve">The </w:t>
      </w:r>
      <w:r>
        <w:t>cost-benefit analysis</w:t>
      </w:r>
      <w:r w:rsidRPr="00183830">
        <w:t xml:space="preserve"> </w:t>
      </w:r>
      <w:r w:rsidRPr="00E077D4">
        <w:t>estimates the</w:t>
      </w:r>
      <w:r>
        <w:t xml:space="preserve"> net present value </w:t>
      </w:r>
      <w:r w:rsidRPr="00E077D4">
        <w:t>of those benefits at $59 million over the initial 20</w:t>
      </w:r>
      <w:r>
        <w:t> </w:t>
      </w:r>
      <w:r w:rsidRPr="00E077D4">
        <w:t>year period of the scheme for all Australian governments.</w:t>
      </w:r>
    </w:p>
    <w:p w14:paraId="55E4CABE" w14:textId="77777777" w:rsidR="00022915" w:rsidRPr="00D67FDF" w:rsidRDefault="00022915" w:rsidP="00022915">
      <w:pPr>
        <w:pStyle w:val="Heading3"/>
      </w:pPr>
      <w:bookmarkStart w:id="191" w:name="_Toc506552681"/>
      <w:r w:rsidRPr="00D67FDF">
        <w:t xml:space="preserve">Impacts on beverages manufactured in other jurisdictions and sold in </w:t>
      </w:r>
      <w:bookmarkEnd w:id="191"/>
      <w:r>
        <w:t>Western Australia</w:t>
      </w:r>
    </w:p>
    <w:p w14:paraId="4542B8D5" w14:textId="77777777" w:rsidR="00022915" w:rsidRPr="00A758B8" w:rsidRDefault="00022915" w:rsidP="00022915">
      <w:r>
        <w:t>Western Australian</w:t>
      </w:r>
      <w:r w:rsidRPr="00A758B8">
        <w:t xml:space="preserve"> imports a range of beverages from other jurisdictions that are covered by the MR Act or TTMR Act but that do not currently plan to have a CDS (mainly</w:t>
      </w:r>
      <w:r>
        <w:t> </w:t>
      </w:r>
      <w:r w:rsidRPr="00A758B8">
        <w:t>New Zealand</w:t>
      </w:r>
      <w:r>
        <w:rPr>
          <w:rStyle w:val="FootnoteReference"/>
        </w:rPr>
        <w:footnoteReference w:id="54"/>
      </w:r>
      <w:r w:rsidRPr="00A758B8">
        <w:t xml:space="preserve"> and Victoria). </w:t>
      </w:r>
    </w:p>
    <w:p w14:paraId="2BB9AD1B" w14:textId="77777777" w:rsidR="00022915" w:rsidRPr="00D70B4A" w:rsidRDefault="00022915" w:rsidP="00022915">
      <w:r w:rsidRPr="00A758B8">
        <w:t xml:space="preserve">Many beverages that are imported and sold in </w:t>
      </w:r>
      <w:r>
        <w:t>Western Australia</w:t>
      </w:r>
      <w:r w:rsidRPr="00A758B8">
        <w:t xml:space="preserve">, such as wine, will be excluded from the CDS, </w:t>
      </w:r>
      <w:r>
        <w:t xml:space="preserve">as noted in the </w:t>
      </w:r>
      <w:r w:rsidRPr="00A758B8">
        <w:t xml:space="preserve">CDS </w:t>
      </w:r>
      <w:r>
        <w:t>d</w:t>
      </w:r>
      <w:r w:rsidRPr="00A758B8">
        <w:t>iscussion paper.</w:t>
      </w:r>
    </w:p>
    <w:p w14:paraId="0D32A39A" w14:textId="77777777" w:rsidR="00022915" w:rsidRPr="00D70B4A" w:rsidRDefault="00022915" w:rsidP="00022915">
      <w:r w:rsidRPr="00D70B4A">
        <w:t xml:space="preserve">For beverages that are not captured in the CDS, the reform will have no </w:t>
      </w:r>
      <w:r>
        <w:t>impact</w:t>
      </w:r>
      <w:r w:rsidRPr="00D70B4A">
        <w:t>.</w:t>
      </w:r>
    </w:p>
    <w:p w14:paraId="6ABB06A9" w14:textId="77777777" w:rsidR="00022915" w:rsidRPr="00D70B4A" w:rsidRDefault="00022915" w:rsidP="00022915">
      <w:r w:rsidRPr="00D70B4A">
        <w:t>For beverages that are captured in the CDS, the key cost</w:t>
      </w:r>
      <w:r>
        <w:t xml:space="preserve"> impacts</w:t>
      </w:r>
      <w:r w:rsidRPr="00D70B4A">
        <w:t xml:space="preserve"> </w:t>
      </w:r>
      <w:r>
        <w:t>for</w:t>
      </w:r>
      <w:r w:rsidRPr="00D70B4A">
        <w:t xml:space="preserve"> any beverage that is imported are</w:t>
      </w:r>
      <w:r>
        <w:t xml:space="preserve"> as follows</w:t>
      </w:r>
      <w:r w:rsidRPr="00D70B4A">
        <w:t>:</w:t>
      </w:r>
    </w:p>
    <w:p w14:paraId="23FB78AF" w14:textId="77777777" w:rsidR="00022915" w:rsidRPr="00901E70" w:rsidRDefault="00022915" w:rsidP="00022915">
      <w:pPr>
        <w:pStyle w:val="Bullets1stindent"/>
        <w:spacing w:line="240" w:lineRule="auto"/>
      </w:pPr>
      <w:r>
        <w:t>The producer will pay for a</w:t>
      </w:r>
      <w:r w:rsidRPr="00901E70">
        <w:t>n approval of the container</w:t>
      </w:r>
      <w:r w:rsidRPr="008D18DE">
        <w:rPr>
          <w:vertAlign w:val="superscript"/>
        </w:rPr>
        <w:footnoteReference w:id="55"/>
      </w:r>
      <w:r w:rsidRPr="00901E70">
        <w:t xml:space="preserve"> and refund marking</w:t>
      </w:r>
      <w:r>
        <w:t>.</w:t>
      </w:r>
      <w:r w:rsidRPr="008D18DE">
        <w:rPr>
          <w:vertAlign w:val="superscript"/>
        </w:rPr>
        <w:footnoteReference w:id="56"/>
      </w:r>
    </w:p>
    <w:p w14:paraId="01518BA6" w14:textId="77777777" w:rsidR="00022915" w:rsidRPr="00901E70" w:rsidRDefault="00022915" w:rsidP="00022915">
      <w:pPr>
        <w:pStyle w:val="Bullets1stindent"/>
        <w:spacing w:line="240" w:lineRule="auto"/>
      </w:pPr>
      <w:r w:rsidRPr="00901E70">
        <w:t>The cost</w:t>
      </w:r>
      <w:r>
        <w:t>s</w:t>
      </w:r>
      <w:r w:rsidRPr="00901E70">
        <w:t xml:space="preserve"> of all beverages included in the scheme </w:t>
      </w:r>
      <w:r>
        <w:t>are</w:t>
      </w:r>
      <w:r w:rsidRPr="00901E70">
        <w:t xml:space="preserve"> likely </w:t>
      </w:r>
      <w:r>
        <w:t xml:space="preserve">to </w:t>
      </w:r>
      <w:r w:rsidRPr="00901E70">
        <w:t>increase</w:t>
      </w:r>
      <w:r>
        <w:t>. It</w:t>
      </w:r>
      <w:r w:rsidRPr="00901E70">
        <w:t xml:space="preserve"> is </w:t>
      </w:r>
      <w:r>
        <w:t>expected</w:t>
      </w:r>
      <w:r w:rsidRPr="00901E70">
        <w:t xml:space="preserve"> that a portion of th</w:t>
      </w:r>
      <w:r>
        <w:t>ose</w:t>
      </w:r>
      <w:r w:rsidRPr="00901E70">
        <w:t xml:space="preserve"> cost</w:t>
      </w:r>
      <w:r>
        <w:t>s</w:t>
      </w:r>
      <w:r w:rsidRPr="00901E70">
        <w:t xml:space="preserve"> will be passed </w:t>
      </w:r>
      <w:r>
        <w:t>on</w:t>
      </w:r>
      <w:r w:rsidRPr="00901E70">
        <w:t xml:space="preserve"> to consumers.</w:t>
      </w:r>
    </w:p>
    <w:p w14:paraId="30670A04" w14:textId="77777777" w:rsidR="00022915" w:rsidRPr="00901E70" w:rsidRDefault="00022915" w:rsidP="00022915">
      <w:pPr>
        <w:pStyle w:val="Bullets1stindent"/>
        <w:spacing w:line="240" w:lineRule="auto"/>
      </w:pPr>
      <w:r w:rsidRPr="00901E70">
        <w:t xml:space="preserve">The distributor </w:t>
      </w:r>
      <w:r>
        <w:t>or</w:t>
      </w:r>
      <w:r w:rsidRPr="00901E70">
        <w:t xml:space="preserve"> importer will contribute to scheme costs</w:t>
      </w:r>
      <w:r>
        <w:t xml:space="preserve">, </w:t>
      </w:r>
      <w:r w:rsidRPr="00901E70">
        <w:t>which will be based on market share (to cover handling fees)</w:t>
      </w:r>
      <w:r>
        <w:t>. I</w:t>
      </w:r>
      <w:r w:rsidRPr="00901E70">
        <w:t xml:space="preserve">t is </w:t>
      </w:r>
      <w:r>
        <w:t>expected</w:t>
      </w:r>
      <w:r w:rsidRPr="00901E70">
        <w:t xml:space="preserve"> that this cost will be passed through to consumers.</w:t>
      </w:r>
    </w:p>
    <w:p w14:paraId="7BF80375" w14:textId="77777777" w:rsidR="00022915" w:rsidRPr="00A758B8" w:rsidRDefault="00022915" w:rsidP="00022915">
      <w:r>
        <w:t>Producers of</w:t>
      </w:r>
      <w:r w:rsidRPr="00901E70">
        <w:t xml:space="preserve"> beverages that are </w:t>
      </w:r>
      <w:r>
        <w:t>currently</w:t>
      </w:r>
      <w:r w:rsidRPr="00901E70">
        <w:t xml:space="preserve"> exported from New Zealand </w:t>
      </w:r>
      <w:r>
        <w:t>into</w:t>
      </w:r>
      <w:r w:rsidRPr="00901E70">
        <w:t xml:space="preserve"> the Australian market may need to amend refund marking that is specific to </w:t>
      </w:r>
      <w:r>
        <w:t xml:space="preserve">the </w:t>
      </w:r>
      <w:r w:rsidRPr="00901E70">
        <w:t>South Australian and Northern Territory CDSs</w:t>
      </w:r>
      <w:r>
        <w:t>. Co</w:t>
      </w:r>
      <w:r w:rsidRPr="00901E70">
        <w:t xml:space="preserve">mpanies have </w:t>
      </w:r>
      <w:r>
        <w:t>two </w:t>
      </w:r>
      <w:r w:rsidRPr="00901E70">
        <w:t>years to change the refund mark</w:t>
      </w:r>
      <w:r>
        <w:t xml:space="preserve"> and beverage and retail industry representatives in Australia have indicated that this is an adequate period to transition to the required refund mark</w:t>
      </w:r>
      <w:r w:rsidRPr="00901E70">
        <w:t xml:space="preserve">. </w:t>
      </w:r>
      <w:r>
        <w:t xml:space="preserve"> </w:t>
      </w:r>
    </w:p>
    <w:p w14:paraId="74A99A32" w14:textId="77777777" w:rsidR="00022915" w:rsidRPr="00CD287A" w:rsidRDefault="00022915" w:rsidP="00022915">
      <w:r w:rsidRPr="00A758B8">
        <w:t>However, the additional costs to beverage producers and suppliers are expected to be negligible</w:t>
      </w:r>
      <w:r>
        <w:t>,</w:t>
      </w:r>
      <w:r w:rsidRPr="00A758B8">
        <w:t xml:space="preserve"> as the provisions in the </w:t>
      </w:r>
      <w:r>
        <w:t>Western Australian</w:t>
      </w:r>
      <w:r w:rsidRPr="00A758B8">
        <w:t xml:space="preserve"> CDS </w:t>
      </w:r>
      <w:r>
        <w:t>(</w:t>
      </w:r>
      <w:r w:rsidRPr="00A758B8">
        <w:t>including those for container approvals and the refund mark</w:t>
      </w:r>
      <w:r>
        <w:t>)</w:t>
      </w:r>
      <w:r w:rsidRPr="00A758B8">
        <w:t xml:space="preserve"> </w:t>
      </w:r>
      <w:r>
        <w:t>will</w:t>
      </w:r>
      <w:r w:rsidRPr="00A758B8">
        <w:t xml:space="preserve"> align with the requirements of the</w:t>
      </w:r>
      <w:r>
        <w:t> New South Wales</w:t>
      </w:r>
      <w:r w:rsidRPr="00A758B8">
        <w:t>,</w:t>
      </w:r>
      <w:r>
        <w:t xml:space="preserve"> </w:t>
      </w:r>
      <w:r w:rsidRPr="00A758B8">
        <w:t>Queensland</w:t>
      </w:r>
      <w:r>
        <w:t xml:space="preserve">, and Australian Capital Territory </w:t>
      </w:r>
      <w:r w:rsidRPr="00A758B8">
        <w:t>CDS.</w:t>
      </w:r>
    </w:p>
    <w:p w14:paraId="298D6DF8" w14:textId="77777777" w:rsidR="00022915" w:rsidRDefault="00022915" w:rsidP="00022915">
      <w:pPr>
        <w:pStyle w:val="Heading2"/>
      </w:pPr>
      <w:bookmarkStart w:id="192" w:name="_Toc506552682"/>
      <w:bookmarkStart w:id="193" w:name="_Toc9375378"/>
      <w:bookmarkStart w:id="194" w:name="_Toc500154260"/>
      <w:r>
        <w:t>Competition analysis</w:t>
      </w:r>
      <w:bookmarkEnd w:id="192"/>
      <w:bookmarkEnd w:id="193"/>
    </w:p>
    <w:bookmarkEnd w:id="194"/>
    <w:p w14:paraId="31C09C09" w14:textId="77777777" w:rsidR="00022915" w:rsidRPr="007C6E9D" w:rsidRDefault="00022915" w:rsidP="00022915">
      <w:r w:rsidRPr="007C6E9D">
        <w:t>The</w:t>
      </w:r>
      <w:r>
        <w:t xml:space="preserve"> Western Australian Government </w:t>
      </w:r>
      <w:r w:rsidRPr="007C6E9D">
        <w:t>has considered whether the reform would restrict competition.</w:t>
      </w:r>
      <w:r>
        <w:rPr>
          <w:rStyle w:val="FootnoteReference"/>
        </w:rPr>
        <w:footnoteReference w:id="57"/>
      </w:r>
      <w:r w:rsidRPr="007C6E9D">
        <w:t xml:space="preserve"> Th</w:t>
      </w:r>
      <w:r>
        <w:t>e</w:t>
      </w:r>
      <w:r w:rsidRPr="007C6E9D">
        <w:t xml:space="preserve"> analysis included consideration of </w:t>
      </w:r>
      <w:r>
        <w:t>impacts</w:t>
      </w:r>
      <w:r w:rsidRPr="007C6E9D">
        <w:t xml:space="preserve"> on:</w:t>
      </w:r>
    </w:p>
    <w:p w14:paraId="452ED00C" w14:textId="77777777" w:rsidR="00022915" w:rsidRPr="007C6E9D" w:rsidRDefault="00022915" w:rsidP="00022915">
      <w:pPr>
        <w:pStyle w:val="Bullets1stindent"/>
        <w:spacing w:before="60" w:line="240" w:lineRule="auto"/>
      </w:pPr>
      <w:r w:rsidRPr="007C6E9D">
        <w:t>buyer power</w:t>
      </w:r>
      <w:r>
        <w:t>;</w:t>
      </w:r>
    </w:p>
    <w:p w14:paraId="2FF040D7" w14:textId="77777777" w:rsidR="00022915" w:rsidRPr="007C6E9D" w:rsidRDefault="00022915" w:rsidP="00022915">
      <w:pPr>
        <w:pStyle w:val="Bullets1stindent"/>
        <w:spacing w:before="60" w:line="240" w:lineRule="auto"/>
      </w:pPr>
      <w:r w:rsidRPr="007C6E9D">
        <w:t>supplier power</w:t>
      </w:r>
      <w:r>
        <w:t>;</w:t>
      </w:r>
    </w:p>
    <w:p w14:paraId="2EF441D6" w14:textId="77777777" w:rsidR="00022915" w:rsidRPr="007C6E9D" w:rsidRDefault="00022915" w:rsidP="00022915">
      <w:pPr>
        <w:pStyle w:val="Bullets1stindent"/>
        <w:spacing w:before="60" w:line="240" w:lineRule="auto"/>
      </w:pPr>
      <w:r w:rsidRPr="007C6E9D">
        <w:t>barriers to entry or exit</w:t>
      </w:r>
      <w:r>
        <w:t>;</w:t>
      </w:r>
    </w:p>
    <w:p w14:paraId="6B8E7E63" w14:textId="77777777" w:rsidR="00022915" w:rsidRPr="007C6E9D" w:rsidRDefault="00022915" w:rsidP="00022915">
      <w:pPr>
        <w:pStyle w:val="Bullets1stindent"/>
        <w:spacing w:before="60" w:line="240" w:lineRule="auto"/>
      </w:pPr>
      <w:r w:rsidRPr="007C6E9D">
        <w:t>the availability of substitutes</w:t>
      </w:r>
      <w:r>
        <w:t>; and</w:t>
      </w:r>
    </w:p>
    <w:p w14:paraId="54939F63" w14:textId="77777777" w:rsidR="00022915" w:rsidRPr="00CD287A" w:rsidRDefault="00022915" w:rsidP="00022915">
      <w:pPr>
        <w:pStyle w:val="Bullets1stindent"/>
        <w:spacing w:before="60" w:line="240" w:lineRule="auto"/>
      </w:pPr>
      <w:r w:rsidRPr="00CD287A">
        <w:t>internal levels of competition in the market.</w:t>
      </w:r>
    </w:p>
    <w:p w14:paraId="3E5689E2" w14:textId="77777777" w:rsidR="00022915" w:rsidRDefault="00022915" w:rsidP="00022915">
      <w:r w:rsidRPr="00CD287A">
        <w:t xml:space="preserve">It </w:t>
      </w:r>
      <w:r>
        <w:t>is</w:t>
      </w:r>
      <w:r w:rsidRPr="00CD287A">
        <w:t xml:space="preserve"> noted that the requirement to gain container approval could impose barrier</w:t>
      </w:r>
      <w:r>
        <w:t>s</w:t>
      </w:r>
      <w:r w:rsidRPr="00CD287A">
        <w:t xml:space="preserve"> to </w:t>
      </w:r>
      <w:r>
        <w:t xml:space="preserve">market </w:t>
      </w:r>
      <w:r w:rsidRPr="00CD287A">
        <w:t>entry and that th</w:t>
      </w:r>
      <w:r>
        <w:t>o</w:t>
      </w:r>
      <w:r w:rsidRPr="00CD287A">
        <w:t xml:space="preserve">se burdens may be </w:t>
      </w:r>
      <w:r>
        <w:t>heavier</w:t>
      </w:r>
      <w:r w:rsidRPr="00CD287A">
        <w:t xml:space="preserve"> for </w:t>
      </w:r>
      <w:r w:rsidRPr="002F774C">
        <w:t>smaller beverage producers</w:t>
      </w:r>
      <w:r w:rsidRPr="00CD287A">
        <w:t xml:space="preserve"> than </w:t>
      </w:r>
      <w:r>
        <w:t xml:space="preserve">for </w:t>
      </w:r>
      <w:r w:rsidRPr="00CD287A">
        <w:t xml:space="preserve">larger ones. </w:t>
      </w:r>
      <w:r>
        <w:t xml:space="preserve"> </w:t>
      </w:r>
      <w:r w:rsidRPr="00CD287A">
        <w:t xml:space="preserve">However, as </w:t>
      </w:r>
      <w:r>
        <w:t xml:space="preserve">the Western Australian Government </w:t>
      </w:r>
      <w:r w:rsidRPr="00CD287A">
        <w:t>has committed to closely harmonis</w:t>
      </w:r>
      <w:r>
        <w:t>ing</w:t>
      </w:r>
      <w:r w:rsidRPr="00CD287A">
        <w:t xml:space="preserve"> its CDS requirements with those of </w:t>
      </w:r>
      <w:r>
        <w:t>other jurisdictions,</w:t>
      </w:r>
      <w:r w:rsidRPr="00CD287A">
        <w:t xml:space="preserve"> the marginal </w:t>
      </w:r>
      <w:r>
        <w:t>impact</w:t>
      </w:r>
      <w:r w:rsidRPr="00CD287A">
        <w:t xml:space="preserve"> of </w:t>
      </w:r>
      <w:r>
        <w:t>the Western Australian CDS is</w:t>
      </w:r>
      <w:r w:rsidRPr="00CD287A">
        <w:t xml:space="preserve"> expected to the negligible. </w:t>
      </w:r>
    </w:p>
    <w:p w14:paraId="18F472AE" w14:textId="77777777" w:rsidR="00022915" w:rsidRDefault="00022915" w:rsidP="00022915">
      <w:r>
        <w:t>This is supported by the experience in other jurisdictions where CDSs have been in operation for a longer time.  For instance, in Denmark a 2006 review of the CDS found that if anything competition had increased subsequent to the introduction of a CDS.</w:t>
      </w:r>
      <w:r>
        <w:rPr>
          <w:rStyle w:val="FootnoteReference"/>
        </w:rPr>
        <w:footnoteReference w:id="58"/>
      </w:r>
      <w:r>
        <w:t xml:space="preserve"> Similarly, in its recent review of the NSW CDS, IPART found that t</w:t>
      </w:r>
      <w:r w:rsidRPr="00D97E98">
        <w:t>here is no specific evidence to suggest the scheme has had a material impact on competition to date.</w:t>
      </w:r>
      <w:r>
        <w:rPr>
          <w:rStyle w:val="FootnoteReference"/>
        </w:rPr>
        <w:footnoteReference w:id="59"/>
      </w:r>
      <w:r w:rsidRPr="008C4D75">
        <w:t xml:space="preserve"> </w:t>
      </w:r>
    </w:p>
    <w:p w14:paraId="74E02CF0" w14:textId="77777777" w:rsidR="00022915" w:rsidRPr="00CD287A" w:rsidRDefault="00022915" w:rsidP="00022915">
      <w:r>
        <w:t xml:space="preserve">In addition, the </w:t>
      </w:r>
      <w:r w:rsidRPr="00FB60FC">
        <w:t xml:space="preserve">Western Australian Government has </w:t>
      </w:r>
      <w:r>
        <w:t>also built in to the design of the CDS a number of features to specifically reduce impacts for small beverage producers.  These include: payment in arrears, quarterly reporting and quarterly payment of supply amounts, no charge for container approvals, a 24 month transition period for compliant refund marks, and working with the scheme coordinator to simplify compliance and contract terms for small beverage suppliers.</w:t>
      </w:r>
    </w:p>
    <w:p w14:paraId="5728E813" w14:textId="77777777" w:rsidR="00022915" w:rsidRPr="00901E70" w:rsidRDefault="00022915" w:rsidP="00022915">
      <w:r>
        <w:t>The only additional cost for businesses that operate in Western Australia and other jurisdictions is a requirement</w:t>
      </w:r>
      <w:r w:rsidRPr="00CD287A">
        <w:t xml:space="preserve"> to report twice on sales into </w:t>
      </w:r>
      <w:r>
        <w:t>Western Australia - o</w:t>
      </w:r>
      <w:r w:rsidRPr="00CD287A">
        <w:t>nce to the A</w:t>
      </w:r>
      <w:r>
        <w:t xml:space="preserve">ustralian </w:t>
      </w:r>
      <w:r w:rsidRPr="00CD287A">
        <w:t>T</w:t>
      </w:r>
      <w:r>
        <w:t xml:space="preserve">ax </w:t>
      </w:r>
      <w:r w:rsidRPr="00CD287A">
        <w:t>O</w:t>
      </w:r>
      <w:r>
        <w:t>ffice</w:t>
      </w:r>
      <w:r w:rsidRPr="00CD287A">
        <w:t xml:space="preserve"> and once to the s</w:t>
      </w:r>
      <w:r>
        <w:t xml:space="preserve">cheme </w:t>
      </w:r>
      <w:r w:rsidRPr="00CD287A">
        <w:t>c</w:t>
      </w:r>
      <w:r>
        <w:t>oordinator</w:t>
      </w:r>
      <w:r w:rsidRPr="00CD287A">
        <w:t>.</w:t>
      </w:r>
      <w:r w:rsidRPr="00901E70">
        <w:t xml:space="preserve"> </w:t>
      </w:r>
    </w:p>
    <w:p w14:paraId="575C0887" w14:textId="77777777" w:rsidR="00022915" w:rsidRDefault="00022915" w:rsidP="00022915">
      <w:r w:rsidRPr="00901E70">
        <w:t xml:space="preserve">Hence, the analysis concluded that </w:t>
      </w:r>
      <w:r>
        <w:t>the Western Australian CDS would</w:t>
      </w:r>
      <w:r w:rsidRPr="00901E70">
        <w:t xml:space="preserve"> not restrict competition in the market for beverages sold in sealed disposable containers.</w:t>
      </w:r>
    </w:p>
    <w:p w14:paraId="00C004E7" w14:textId="77777777" w:rsidR="00022915" w:rsidRDefault="00022915" w:rsidP="00022915">
      <w:r>
        <w:br w:type="page"/>
      </w:r>
    </w:p>
    <w:p w14:paraId="6188CDEF" w14:textId="77777777" w:rsidR="00022915" w:rsidRDefault="00022915" w:rsidP="00022915">
      <w:pPr>
        <w:pStyle w:val="Heading1"/>
        <w:keepNext w:val="0"/>
        <w:spacing w:before="240" w:after="240"/>
      </w:pPr>
      <w:bookmarkStart w:id="195" w:name="_Toc500154261"/>
      <w:bookmarkStart w:id="196" w:name="_Toc9375379"/>
      <w:r>
        <w:t>Consultation</w:t>
      </w:r>
      <w:bookmarkEnd w:id="195"/>
      <w:r>
        <w:t xml:space="preserve"> undertaken</w:t>
      </w:r>
      <w:bookmarkEnd w:id="196"/>
    </w:p>
    <w:p w14:paraId="5851369F" w14:textId="77777777" w:rsidR="00022915" w:rsidRDefault="00022915" w:rsidP="00022915">
      <w:pPr>
        <w:pStyle w:val="Heading2"/>
      </w:pPr>
      <w:bookmarkStart w:id="197" w:name="_Toc500154262"/>
      <w:bookmarkStart w:id="198" w:name="_Toc9375380"/>
      <w:r>
        <w:t xml:space="preserve">Consultation </w:t>
      </w:r>
      <w:bookmarkEnd w:id="197"/>
      <w:r>
        <w:t>prior to the RIS</w:t>
      </w:r>
      <w:bookmarkEnd w:id="198"/>
    </w:p>
    <w:p w14:paraId="3EA94D2D" w14:textId="77777777" w:rsidR="00022915" w:rsidRDefault="00022915" w:rsidP="00022915">
      <w:r>
        <w:t>Implementation of a CDS was an election commitment of the Labor Party</w:t>
      </w:r>
      <w:r w:rsidRPr="00395113">
        <w:t xml:space="preserve"> </w:t>
      </w:r>
      <w:r>
        <w:t>during the Western Australian state election of March 2017.  Bipartisan support for the reform is expected, as the former Liberal National Government</w:t>
      </w:r>
      <w:r w:rsidRPr="00395113">
        <w:t xml:space="preserve"> </w:t>
      </w:r>
      <w:r>
        <w:t>had commenced developing a similar scheme (Western Australian Government 2016).</w:t>
      </w:r>
    </w:p>
    <w:p w14:paraId="000281E8" w14:textId="77777777" w:rsidR="00022915" w:rsidRDefault="00022915" w:rsidP="00022915">
      <w:r>
        <w:t>Since mid-2017, the Western Australian Government has provided multiple media statements and consultation opportunities on the CDS:</w:t>
      </w:r>
    </w:p>
    <w:p w14:paraId="7B3E4A7D" w14:textId="77777777" w:rsidR="00022915" w:rsidRPr="004D6556" w:rsidRDefault="00022915" w:rsidP="00022915">
      <w:pPr>
        <w:pStyle w:val="Bullets1stindent"/>
      </w:pPr>
      <w:r>
        <w:t xml:space="preserve">In August </w:t>
      </w:r>
      <w:r w:rsidRPr="004D6556">
        <w:t>2017</w:t>
      </w:r>
      <w:r>
        <w:t>,</w:t>
      </w:r>
      <w:r w:rsidRPr="004D6556">
        <w:t xml:space="preserve"> </w:t>
      </w:r>
      <w:r>
        <w:t xml:space="preserve">the Western Australian Government </w:t>
      </w:r>
      <w:r w:rsidRPr="004D6556">
        <w:t xml:space="preserve">published a dedicated webpage </w:t>
      </w:r>
      <w:r>
        <w:t>which</w:t>
      </w:r>
      <w:r w:rsidRPr="004D6556">
        <w:t xml:space="preserve"> provides the community with </w:t>
      </w:r>
      <w:r>
        <w:t xml:space="preserve">up to date </w:t>
      </w:r>
      <w:r w:rsidRPr="004D6556">
        <w:t>information</w:t>
      </w:r>
      <w:r>
        <w:t>,</w:t>
      </w:r>
      <w:r w:rsidRPr="004D6556">
        <w:t xml:space="preserve"> </w:t>
      </w:r>
      <w:r>
        <w:t>answers to</w:t>
      </w:r>
      <w:r w:rsidRPr="004D6556">
        <w:t xml:space="preserve"> frequently asked questions</w:t>
      </w:r>
      <w:r>
        <w:t>, consultation opportunities on various aspects of the scheme</w:t>
      </w:r>
      <w:r w:rsidRPr="004D6556">
        <w:t xml:space="preserve"> </w:t>
      </w:r>
      <w:r>
        <w:t>and</w:t>
      </w:r>
      <w:r w:rsidRPr="004D6556">
        <w:t xml:space="preserve"> contact details </w:t>
      </w:r>
      <w:r>
        <w:t xml:space="preserve">to </w:t>
      </w:r>
      <w:r w:rsidRPr="004D6556">
        <w:t>provid</w:t>
      </w:r>
      <w:r>
        <w:t xml:space="preserve">e </w:t>
      </w:r>
      <w:r w:rsidRPr="004D6556">
        <w:t>input.</w:t>
      </w:r>
      <w:r w:rsidRPr="004D6556">
        <w:rPr>
          <w:vertAlign w:val="superscript"/>
        </w:rPr>
        <w:footnoteReference w:id="60"/>
      </w:r>
    </w:p>
    <w:p w14:paraId="1FBC99DF" w14:textId="77777777" w:rsidR="00022915" w:rsidRDefault="00022915" w:rsidP="00022915">
      <w:pPr>
        <w:pStyle w:val="Bullets1stindent"/>
      </w:pPr>
      <w:r>
        <w:t xml:space="preserve">In August 2017, the </w:t>
      </w:r>
      <w:r>
        <w:rPr>
          <w:i/>
        </w:rPr>
        <w:t>Western Australian Container Deposit Scheme discussion paper</w:t>
      </w:r>
      <w:r>
        <w:t xml:space="preserve"> was released.  The paper was circulated to give stakeholders and the community an opportunity to provide input on options and a conceptual model.  During the consultation period, interested stakeholders and members of the community were given multiple opportunities and methods to provide input including:</w:t>
      </w:r>
    </w:p>
    <w:p w14:paraId="2167B60A" w14:textId="77777777" w:rsidR="00022915" w:rsidRPr="002609EA" w:rsidRDefault="00022915" w:rsidP="00022915">
      <w:pPr>
        <w:pStyle w:val="Bullets2ndindent"/>
      </w:pPr>
      <w:r w:rsidRPr="002609EA">
        <w:t>12 stakeholder briefings were held during the consultation period as well as one online presentation.</w:t>
      </w:r>
    </w:p>
    <w:p w14:paraId="22BF4FB0" w14:textId="77777777" w:rsidR="00022915" w:rsidRPr="002609EA" w:rsidRDefault="00022915" w:rsidP="00022915">
      <w:pPr>
        <w:pStyle w:val="Bullets2ndindent"/>
      </w:pPr>
      <w:r w:rsidRPr="002609EA">
        <w:t>160 submissions were received and published on the website (DWER 2017a).</w:t>
      </w:r>
    </w:p>
    <w:p w14:paraId="2060D34E" w14:textId="77777777" w:rsidR="00022915" w:rsidRPr="002609EA" w:rsidRDefault="00022915" w:rsidP="00022915">
      <w:pPr>
        <w:pStyle w:val="Bullets2ndindent"/>
      </w:pPr>
      <w:r w:rsidRPr="002609EA">
        <w:t>An online survey was completed by 3,256 people. A summary of results from the six questions is available online (DWER, n.d.).</w:t>
      </w:r>
    </w:p>
    <w:p w14:paraId="3D970BF0" w14:textId="77777777" w:rsidR="00022915" w:rsidRPr="00C9791A" w:rsidRDefault="00022915" w:rsidP="00022915">
      <w:pPr>
        <w:pStyle w:val="Bullets1stindent"/>
      </w:pPr>
      <w:r>
        <w:t>The development of the CDS is being informed by a Western Australian CDS advisory</w:t>
      </w:r>
      <w:r w:rsidRPr="00C9791A">
        <w:t xml:space="preserve"> group </w:t>
      </w:r>
      <w:r>
        <w:t>and numerous technical working groups that</w:t>
      </w:r>
      <w:r w:rsidRPr="00C9791A">
        <w:t xml:space="preserve"> includes representatives from:</w:t>
      </w:r>
    </w:p>
    <w:p w14:paraId="66B1BD4B" w14:textId="77777777" w:rsidR="00022915" w:rsidRPr="00C9791A" w:rsidRDefault="00022915" w:rsidP="00022915">
      <w:pPr>
        <w:pStyle w:val="Bullets2ndindent"/>
      </w:pPr>
      <w:r w:rsidRPr="00C9791A">
        <w:t>beverage manufacturers</w:t>
      </w:r>
      <w:r>
        <w:t>;</w:t>
      </w:r>
    </w:p>
    <w:p w14:paraId="4BB7CE8C" w14:textId="77777777" w:rsidR="00022915" w:rsidRDefault="00022915" w:rsidP="00022915">
      <w:pPr>
        <w:pStyle w:val="Bullets2ndindent"/>
      </w:pPr>
      <w:r>
        <w:t>retailers;</w:t>
      </w:r>
    </w:p>
    <w:p w14:paraId="657BA4B4" w14:textId="77777777" w:rsidR="00022915" w:rsidRDefault="00022915" w:rsidP="00022915">
      <w:pPr>
        <w:pStyle w:val="Bullets2ndindent"/>
      </w:pPr>
      <w:r>
        <w:t>local government;</w:t>
      </w:r>
    </w:p>
    <w:p w14:paraId="536A710B" w14:textId="77777777" w:rsidR="00022915" w:rsidRDefault="00022915" w:rsidP="00022915">
      <w:pPr>
        <w:pStyle w:val="Bullets2ndindent"/>
      </w:pPr>
      <w:r>
        <w:t>waste management and recycling industries;</w:t>
      </w:r>
    </w:p>
    <w:p w14:paraId="357FA32A" w14:textId="77777777" w:rsidR="00022915" w:rsidRDefault="00022915" w:rsidP="00022915">
      <w:pPr>
        <w:pStyle w:val="Bullets2ndindent"/>
      </w:pPr>
      <w:r>
        <w:t xml:space="preserve">environmental non-government organisations; and </w:t>
      </w:r>
    </w:p>
    <w:p w14:paraId="7CA358DF" w14:textId="77777777" w:rsidR="00022915" w:rsidRDefault="00022915" w:rsidP="00022915">
      <w:pPr>
        <w:pStyle w:val="Bullets2ndindent"/>
      </w:pPr>
      <w:r>
        <w:t>community groups.</w:t>
      </w:r>
    </w:p>
    <w:p w14:paraId="21956251" w14:textId="77777777" w:rsidR="00022915" w:rsidRDefault="00022915" w:rsidP="00022915">
      <w:r>
        <w:t xml:space="preserve">The development of the Western Australian CDS has benefited directly from work done by New South Wales, Queensland and the Australian Capital Territory, all of which have recently implemented their own programs.  </w:t>
      </w:r>
    </w:p>
    <w:p w14:paraId="7AE98847" w14:textId="77777777" w:rsidR="00022915" w:rsidRDefault="00022915" w:rsidP="00022915">
      <w:r>
        <w:t>The New South Wales consultation considered a broad range of proposals from industry and other stakeholders before determining that a CDS was the preferred option.  Several representatives on the Western Australian CDS advisory</w:t>
      </w:r>
      <w:r w:rsidRPr="00C9791A">
        <w:t xml:space="preserve"> group </w:t>
      </w:r>
      <w:r>
        <w:t>have direct experience in the development and implementation of the New South Wales and Queensland CDSs.</w:t>
      </w:r>
    </w:p>
    <w:p w14:paraId="6C1DF73D" w14:textId="77777777" w:rsidR="00022915" w:rsidRPr="00A45EA6" w:rsidRDefault="00022915" w:rsidP="00022915">
      <w:pPr>
        <w:pStyle w:val="Heading2"/>
      </w:pPr>
      <w:bookmarkStart w:id="199" w:name="_Toc509917112"/>
      <w:bookmarkStart w:id="200" w:name="_Toc9375381"/>
      <w:bookmarkEnd w:id="199"/>
      <w:r w:rsidRPr="00A45EA6">
        <w:t>Consultation undertaken in developing the RIS</w:t>
      </w:r>
      <w:bookmarkEnd w:id="200"/>
    </w:p>
    <w:p w14:paraId="54A2CB48" w14:textId="77777777" w:rsidR="00022915" w:rsidRPr="00A45EA6" w:rsidRDefault="00022915" w:rsidP="00022915">
      <w:r w:rsidRPr="00A45EA6">
        <w:t xml:space="preserve">To develop this Decision RIS, a Consultation RIS was published on 13 August 2018 and public comment was sought over a four week consultation period.  The consultation period closed on 10 September 2018 and a total of thirteen responses were received. </w:t>
      </w:r>
      <w:r w:rsidRPr="00F91E38">
        <w:t>Submissions are available on the Department of Water and Environmental Regulation website</w:t>
      </w:r>
      <w:r>
        <w:t>.</w:t>
      </w:r>
      <w:r>
        <w:rPr>
          <w:rStyle w:val="FootnoteReference"/>
        </w:rPr>
        <w:footnoteReference w:id="61"/>
      </w:r>
    </w:p>
    <w:p w14:paraId="045D6732" w14:textId="77777777" w:rsidR="00022915" w:rsidRPr="00A45EA6" w:rsidRDefault="00022915" w:rsidP="00022915">
      <w:r w:rsidRPr="00A45EA6">
        <w:t>Of the 13 responses, the clear majority (11) were supportive of the introduction of a CDS and only 2 responses were not supportive.</w:t>
      </w:r>
    </w:p>
    <w:p w14:paraId="0E4C9B12" w14:textId="77777777" w:rsidR="00022915" w:rsidRPr="00A45EA6" w:rsidRDefault="00022915" w:rsidP="00022915">
      <w:r w:rsidRPr="00A45EA6">
        <w:t xml:space="preserve">A summary of the concerns raised in submissions that were not supportive of the CDS, and the response to each point raised are set out in </w:t>
      </w:r>
      <w:r w:rsidRPr="00A45EA6">
        <w:fldChar w:fldCharType="begin"/>
      </w:r>
      <w:r w:rsidRPr="00A45EA6">
        <w:instrText xml:space="preserve"> REF _Ref530510561 \h  \* MERGEFORMAT </w:instrText>
      </w:r>
      <w:r w:rsidRPr="00A45EA6">
        <w:fldChar w:fldCharType="separate"/>
      </w:r>
      <w:r w:rsidRPr="00A45EA6">
        <w:t xml:space="preserve">Table </w:t>
      </w:r>
      <w:r>
        <w:rPr>
          <w:noProof/>
        </w:rPr>
        <w:t>15</w:t>
      </w:r>
      <w:r w:rsidRPr="00A45EA6">
        <w:fldChar w:fldCharType="end"/>
      </w:r>
      <w:r w:rsidRPr="00A45EA6">
        <w:t>.  As noted in the response section</w:t>
      </w:r>
      <w:r>
        <w:t>,</w:t>
      </w:r>
      <w:r w:rsidRPr="00A45EA6">
        <w:t xml:space="preserve"> no changes are proposed </w:t>
      </w:r>
      <w:r>
        <w:t>as a result of</w:t>
      </w:r>
      <w:r w:rsidRPr="00A45EA6">
        <w:t xml:space="preserve"> these submissions. </w:t>
      </w:r>
    </w:p>
    <w:p w14:paraId="2BE5B3F8" w14:textId="77777777" w:rsidR="00022915" w:rsidRPr="00A45EA6" w:rsidRDefault="00022915" w:rsidP="00022915">
      <w:pPr>
        <w:pStyle w:val="Caption"/>
      </w:pPr>
      <w:bookmarkStart w:id="201" w:name="_Ref530510561"/>
      <w:bookmarkStart w:id="202" w:name="_Toc10031224"/>
      <w:r w:rsidRPr="00A45EA6">
        <w:t xml:space="preserve">Table </w:t>
      </w:r>
      <w:r w:rsidR="00CF34D3">
        <w:rPr>
          <w:noProof/>
        </w:rPr>
        <w:fldChar w:fldCharType="begin"/>
      </w:r>
      <w:r w:rsidR="00CF34D3">
        <w:rPr>
          <w:noProof/>
        </w:rPr>
        <w:instrText xml:space="preserve"> SEQ Table \* ARABIC </w:instrText>
      </w:r>
      <w:r w:rsidR="00CF34D3">
        <w:rPr>
          <w:noProof/>
        </w:rPr>
        <w:fldChar w:fldCharType="separate"/>
      </w:r>
      <w:r>
        <w:rPr>
          <w:noProof/>
        </w:rPr>
        <w:t>15</w:t>
      </w:r>
      <w:r w:rsidR="00CF34D3">
        <w:rPr>
          <w:noProof/>
        </w:rPr>
        <w:fldChar w:fldCharType="end"/>
      </w:r>
      <w:bookmarkEnd w:id="201"/>
      <w:r w:rsidRPr="00A45EA6">
        <w:t>: Concerns raised by respondents that were not supportive of the CDS</w:t>
      </w:r>
      <w:bookmarkEnd w:id="202"/>
    </w:p>
    <w:tbl>
      <w:tblPr>
        <w:tblStyle w:val="TableGrid"/>
        <w:tblW w:w="0" w:type="auto"/>
        <w:tblLook w:val="04A0" w:firstRow="1" w:lastRow="0" w:firstColumn="1" w:lastColumn="0" w:noHBand="0" w:noVBand="1"/>
      </w:tblPr>
      <w:tblGrid>
        <w:gridCol w:w="4508"/>
        <w:gridCol w:w="4508"/>
      </w:tblGrid>
      <w:tr w:rsidR="00022915" w:rsidRPr="00A45EA6" w14:paraId="5B3481D7" w14:textId="77777777" w:rsidTr="00C53AB1">
        <w:trPr>
          <w:tblHeader/>
        </w:trPr>
        <w:tc>
          <w:tcPr>
            <w:tcW w:w="4530" w:type="dxa"/>
          </w:tcPr>
          <w:p w14:paraId="2635EDF0" w14:textId="77777777" w:rsidR="00022915" w:rsidRPr="00A45EA6" w:rsidRDefault="00022915" w:rsidP="00C53AB1">
            <w:pPr>
              <w:pStyle w:val="Tableheading0"/>
            </w:pPr>
            <w:r w:rsidRPr="00A45EA6">
              <w:t>Submission made</w:t>
            </w:r>
          </w:p>
        </w:tc>
        <w:tc>
          <w:tcPr>
            <w:tcW w:w="4530" w:type="dxa"/>
          </w:tcPr>
          <w:p w14:paraId="7DF5D68B" w14:textId="77777777" w:rsidR="00022915" w:rsidRPr="00A45EA6" w:rsidRDefault="00022915" w:rsidP="00C53AB1">
            <w:pPr>
              <w:pStyle w:val="Tableheading0"/>
            </w:pPr>
            <w:r w:rsidRPr="00A45EA6">
              <w:t>Response</w:t>
            </w:r>
          </w:p>
        </w:tc>
      </w:tr>
      <w:tr w:rsidR="00022915" w:rsidRPr="00A45EA6" w14:paraId="7CCE1981" w14:textId="77777777" w:rsidTr="00C53AB1">
        <w:tc>
          <w:tcPr>
            <w:tcW w:w="4530" w:type="dxa"/>
          </w:tcPr>
          <w:p w14:paraId="0865EBF3" w14:textId="77777777" w:rsidR="00022915" w:rsidRPr="00A45EA6" w:rsidRDefault="00022915" w:rsidP="00C53AB1">
            <w:pPr>
              <w:pStyle w:val="Tabletext0"/>
            </w:pPr>
            <w:r w:rsidRPr="00A45EA6">
              <w:t xml:space="preserve">The scheme risks … significant customer frustration due to a lack of awareness of its operation as a result of insufficient advertising and education efforts. </w:t>
            </w:r>
          </w:p>
        </w:tc>
        <w:tc>
          <w:tcPr>
            <w:tcW w:w="4530" w:type="dxa"/>
          </w:tcPr>
          <w:p w14:paraId="491990C2" w14:textId="77777777" w:rsidR="00022915" w:rsidRPr="00A45EA6" w:rsidRDefault="00022915" w:rsidP="00C53AB1">
            <w:pPr>
              <w:pStyle w:val="Tabletext0"/>
            </w:pPr>
            <w:r w:rsidRPr="00A45EA6">
              <w:t xml:space="preserve">The scheme has been designed with a significant lead time to allow for community education.  </w:t>
            </w:r>
          </w:p>
          <w:p w14:paraId="74D34741" w14:textId="77777777" w:rsidR="00022915" w:rsidRDefault="00022915" w:rsidP="00C53AB1">
            <w:pPr>
              <w:pStyle w:val="Tabletext0"/>
            </w:pPr>
            <w:r w:rsidRPr="00A45EA6">
              <w:t>The implementation approach has been designed and scoped to draw on lessons from the recent implementation of CDSs in New</w:t>
            </w:r>
            <w:r>
              <w:t> </w:t>
            </w:r>
            <w:r w:rsidRPr="00A45EA6">
              <w:t>South Wales, Queensland and the Australian Capital Territory.</w:t>
            </w:r>
          </w:p>
          <w:p w14:paraId="68616E37" w14:textId="77777777" w:rsidR="00022915" w:rsidRPr="00A45EA6" w:rsidRDefault="00022915" w:rsidP="00C53AB1">
            <w:pPr>
              <w:pStyle w:val="Tabletext0"/>
            </w:pPr>
            <w:r>
              <w:rPr>
                <w:rFonts w:cs="Arial"/>
              </w:rPr>
              <w:t>Public awareness and education is a key responsibility of the scheme coordinator. T</w:t>
            </w:r>
            <w:r w:rsidRPr="00956FC7">
              <w:rPr>
                <w:rFonts w:cs="Arial"/>
              </w:rPr>
              <w:t xml:space="preserve">he </w:t>
            </w:r>
            <w:r>
              <w:rPr>
                <w:rFonts w:cs="Arial"/>
              </w:rPr>
              <w:t>scheme c</w:t>
            </w:r>
            <w:r w:rsidRPr="00956FC7">
              <w:rPr>
                <w:rFonts w:cs="Arial"/>
              </w:rPr>
              <w:t>oordinator</w:t>
            </w:r>
            <w:r>
              <w:rPr>
                <w:rFonts w:cs="Arial"/>
              </w:rPr>
              <w:t xml:space="preserve"> will be required to publicly report</w:t>
            </w:r>
            <w:r w:rsidRPr="00956FC7">
              <w:rPr>
                <w:rFonts w:cs="Arial"/>
              </w:rPr>
              <w:t xml:space="preserve"> on public education and awareness</w:t>
            </w:r>
            <w:r>
              <w:rPr>
                <w:rFonts w:cs="Arial"/>
              </w:rPr>
              <w:t xml:space="preserve"> - providing</w:t>
            </w:r>
            <w:r w:rsidRPr="00956FC7">
              <w:rPr>
                <w:rFonts w:cs="Arial"/>
              </w:rPr>
              <w:t xml:space="preserve"> detail of ongoing promotion of the scheme and refund point locations </w:t>
            </w:r>
            <w:r>
              <w:rPr>
                <w:rFonts w:cs="Arial"/>
              </w:rPr>
              <w:t>and r</w:t>
            </w:r>
            <w:r w:rsidRPr="0033359D">
              <w:rPr>
                <w:rFonts w:cs="Arial"/>
              </w:rPr>
              <w:t>esults of surveys showing level of public awareness about the scheme</w:t>
            </w:r>
            <w:r>
              <w:rPr>
                <w:rFonts w:cs="Arial"/>
              </w:rPr>
              <w:t>.</w:t>
            </w:r>
          </w:p>
        </w:tc>
      </w:tr>
      <w:tr w:rsidR="00022915" w:rsidRPr="00A45EA6" w14:paraId="5B30A875" w14:textId="77777777" w:rsidTr="00C53AB1">
        <w:tc>
          <w:tcPr>
            <w:tcW w:w="4530" w:type="dxa"/>
          </w:tcPr>
          <w:p w14:paraId="09B56ECA" w14:textId="77777777" w:rsidR="00022915" w:rsidRPr="00A45EA6" w:rsidRDefault="00022915" w:rsidP="00C53AB1">
            <w:pPr>
              <w:pStyle w:val="Tabletext0"/>
            </w:pPr>
            <w:r w:rsidRPr="00A45EA6">
              <w:t>We also envisage problems due to insufficient infrastructure to deliver the scheme if, as the Consultation RIS suggests, the New South Wales example is to be used as a guide.</w:t>
            </w:r>
          </w:p>
        </w:tc>
        <w:tc>
          <w:tcPr>
            <w:tcW w:w="4530" w:type="dxa"/>
            <w:vMerge w:val="restart"/>
            <w:vAlign w:val="center"/>
          </w:tcPr>
          <w:p w14:paraId="1067F7DA" w14:textId="77777777" w:rsidR="00022915" w:rsidRPr="00A45EA6" w:rsidRDefault="00022915" w:rsidP="00C53AB1">
            <w:pPr>
              <w:pStyle w:val="Tabletext0"/>
            </w:pPr>
            <w:r w:rsidRPr="00A45EA6">
              <w:t xml:space="preserve">The teething problems in New South Wales appeared to arise from the rapid implementation timetable.  </w:t>
            </w:r>
          </w:p>
          <w:p w14:paraId="7F9C3012" w14:textId="77777777" w:rsidR="00022915" w:rsidRDefault="00022915" w:rsidP="00C53AB1">
            <w:pPr>
              <w:pStyle w:val="Tabletext0"/>
            </w:pPr>
            <w:r w:rsidRPr="00A45EA6">
              <w:t xml:space="preserve">This will not be repeated in </w:t>
            </w:r>
            <w:r>
              <w:t>Western Australia</w:t>
            </w:r>
            <w:r w:rsidRPr="00A45EA6">
              <w:t xml:space="preserve"> and instead a longer lead time is planned between the system establishment and implementation. This longer timeframe will enable the industry </w:t>
            </w:r>
            <w:r w:rsidRPr="00780AC8">
              <w:t>and public education programs to ensure a smoother transition</w:t>
            </w:r>
            <w:r w:rsidRPr="00A45EA6">
              <w:t>.</w:t>
            </w:r>
            <w:r>
              <w:rPr>
                <w:rStyle w:val="FootnoteReference"/>
              </w:rPr>
              <w:t xml:space="preserve"> </w:t>
            </w:r>
            <w:r>
              <w:rPr>
                <w:rStyle w:val="FootnoteReference"/>
              </w:rPr>
              <w:footnoteReference w:id="62"/>
            </w:r>
          </w:p>
          <w:p w14:paraId="25ED267D" w14:textId="77777777" w:rsidR="00022915" w:rsidRDefault="00022915" w:rsidP="00C53AB1">
            <w:pPr>
              <w:pStyle w:val="CommentText"/>
            </w:pPr>
            <w:r>
              <w:t>The Department of Planning Lands and Heritage have developed a draft position statement for Container deposit scheme infrastructure</w:t>
            </w:r>
            <w:r>
              <w:rPr>
                <w:rStyle w:val="FootnoteReference"/>
              </w:rPr>
              <w:footnoteReference w:id="63"/>
            </w:r>
            <w:r>
              <w:t xml:space="preserve">, designed to provide guidance for local governments to ensure </w:t>
            </w:r>
            <w:r w:rsidRPr="002F7D6D">
              <w:t>a coordinated approach to</w:t>
            </w:r>
            <w:r>
              <w:t xml:space="preserve"> </w:t>
            </w:r>
            <w:r w:rsidRPr="002F7D6D">
              <w:t>the provision of CDS infrastructure</w:t>
            </w:r>
            <w:r>
              <w:t xml:space="preserve"> </w:t>
            </w:r>
            <w:r w:rsidRPr="002F7D6D">
              <w:t>throughout WA</w:t>
            </w:r>
            <w:r>
              <w:t xml:space="preserve"> and ensure the timely roll out of </w:t>
            </w:r>
            <w:r w:rsidRPr="002F7D6D">
              <w:t>i</w:t>
            </w:r>
            <w:r>
              <w:t xml:space="preserve">nfrastructure in support of the </w:t>
            </w:r>
            <w:r w:rsidRPr="002F7D6D">
              <w:t>scheme’s establishment and ongoing</w:t>
            </w:r>
            <w:r>
              <w:t xml:space="preserve"> </w:t>
            </w:r>
            <w:r w:rsidRPr="002F7D6D">
              <w:t>operational needs</w:t>
            </w:r>
            <w:r>
              <w:t>.</w:t>
            </w:r>
          </w:p>
          <w:p w14:paraId="15EA5E4F" w14:textId="77777777" w:rsidR="00022915" w:rsidRPr="00A45EA6" w:rsidRDefault="00022915" w:rsidP="00C53AB1">
            <w:pPr>
              <w:pStyle w:val="CommentText"/>
            </w:pPr>
            <w:r>
              <w:t xml:space="preserve">The </w:t>
            </w:r>
            <w:r w:rsidRPr="00205BC0">
              <w:rPr>
                <w:i/>
              </w:rPr>
              <w:t>Minimum network standards: Refund point locations and hours of operation</w:t>
            </w:r>
            <w:r>
              <w:t xml:space="preserve"> establishes the minimum requirements for the number and location of refund points across every region in WA. The scheme coordinator will be required to deliver these minimum standards within the first year following scheme commencement and will be required to deliver an interim target at scheme commencement. </w:t>
            </w:r>
          </w:p>
        </w:tc>
      </w:tr>
      <w:tr w:rsidR="00022915" w:rsidRPr="00A45EA6" w14:paraId="25268FBF" w14:textId="77777777" w:rsidTr="00C53AB1">
        <w:tc>
          <w:tcPr>
            <w:tcW w:w="4530" w:type="dxa"/>
          </w:tcPr>
          <w:p w14:paraId="74BB6D56" w14:textId="77777777" w:rsidR="00022915" w:rsidRPr="00A45EA6" w:rsidRDefault="00022915" w:rsidP="00C53AB1">
            <w:pPr>
              <w:pStyle w:val="Tabletext0"/>
            </w:pPr>
            <w:r w:rsidRPr="00A45EA6">
              <w:t>… the New South Wales experience has been a disaster and the lack of collection points saw the scheme immediately prove counterproductive. It must be made abundantly clear that retailers are not default collection points.</w:t>
            </w:r>
          </w:p>
        </w:tc>
        <w:tc>
          <w:tcPr>
            <w:tcW w:w="4530" w:type="dxa"/>
            <w:vMerge/>
          </w:tcPr>
          <w:p w14:paraId="555E7E77" w14:textId="77777777" w:rsidR="00022915" w:rsidRPr="00A45EA6" w:rsidRDefault="00022915" w:rsidP="00C53AB1">
            <w:pPr>
              <w:pStyle w:val="Tabletext0"/>
            </w:pPr>
          </w:p>
        </w:tc>
      </w:tr>
      <w:tr w:rsidR="00022915" w:rsidRPr="00C72A7A" w14:paraId="446BD0FC" w14:textId="77777777" w:rsidTr="00C53AB1">
        <w:tc>
          <w:tcPr>
            <w:tcW w:w="4530" w:type="dxa"/>
          </w:tcPr>
          <w:p w14:paraId="5365572C" w14:textId="77777777" w:rsidR="00022915" w:rsidRPr="00A45EA6" w:rsidRDefault="00022915" w:rsidP="00C53AB1">
            <w:pPr>
              <w:pStyle w:val="Tabletext0"/>
            </w:pPr>
            <w:r w:rsidRPr="00A45EA6">
              <w:t xml:space="preserve">While the Consultation RIS acknowledges economic costs in terms of cleaning litter, we don’t </w:t>
            </w:r>
            <w:r w:rsidRPr="00780AC8">
              <w:t>believe it acknowledges properly the potential for the loss of small business trade, the potential for retailers to be left with old labelled</w:t>
            </w:r>
            <w:r w:rsidRPr="00A45EA6">
              <w:t xml:space="preserve"> stock on hand, and other retailer impacts such as reduced convenience and increased customer frustration. </w:t>
            </w:r>
          </w:p>
        </w:tc>
        <w:tc>
          <w:tcPr>
            <w:tcW w:w="4530" w:type="dxa"/>
            <w:vMerge w:val="restart"/>
            <w:vAlign w:val="center"/>
          </w:tcPr>
          <w:p w14:paraId="71CE0314" w14:textId="77777777" w:rsidR="00022915" w:rsidRDefault="00022915" w:rsidP="00C53AB1">
            <w:pPr>
              <w:pStyle w:val="Tabletext0"/>
            </w:pPr>
            <w:r w:rsidRPr="00A45EA6">
              <w:t xml:space="preserve">The </w:t>
            </w:r>
            <w:r>
              <w:t>Western Australian</w:t>
            </w:r>
            <w:r w:rsidRPr="00A45EA6">
              <w:t xml:space="preserve"> Government has announced that it will adopt the same refund mark used by other states and territories. </w:t>
            </w:r>
            <w:r>
              <w:t xml:space="preserve"> </w:t>
            </w:r>
          </w:p>
          <w:p w14:paraId="07591D24" w14:textId="77777777" w:rsidR="00022915" w:rsidRDefault="00022915" w:rsidP="00C53AB1">
            <w:pPr>
              <w:pStyle w:val="Tabletext0"/>
            </w:pPr>
            <w:r>
              <w:t>DWER</w:t>
            </w:r>
            <w:r w:rsidRPr="00A45EA6">
              <w:t xml:space="preserve"> has written to organisations representing beverage manufacturers to advise them of the refund mark wording. </w:t>
            </w:r>
          </w:p>
          <w:p w14:paraId="00BF9FC3" w14:textId="77777777" w:rsidR="00022915" w:rsidRDefault="00022915" w:rsidP="00C53AB1">
            <w:pPr>
              <w:pStyle w:val="Tabletext0"/>
            </w:pPr>
            <w:r>
              <w:t>DWER</w:t>
            </w:r>
            <w:r w:rsidRPr="00A45EA6">
              <w:t xml:space="preserve"> </w:t>
            </w:r>
            <w:r>
              <w:t xml:space="preserve">has </w:t>
            </w:r>
            <w:r w:rsidRPr="00A45EA6">
              <w:t>also writ</w:t>
            </w:r>
            <w:r>
              <w:t>ten</w:t>
            </w:r>
            <w:r w:rsidRPr="00A45EA6">
              <w:t xml:space="preserve"> directly to the beverage manufacturers it can identify with this information to provide an 18 month </w:t>
            </w:r>
            <w:r>
              <w:t xml:space="preserve">notice </w:t>
            </w:r>
            <w:r w:rsidRPr="00A45EA6">
              <w:t xml:space="preserve">period </w:t>
            </w:r>
            <w:r>
              <w:t>in advance of scheme commencement</w:t>
            </w:r>
            <w:r w:rsidRPr="00A45EA6">
              <w:t xml:space="preserve"> to update labelling and manage existing stock.  This</w:t>
            </w:r>
            <w:r>
              <w:t xml:space="preserve"> notice </w:t>
            </w:r>
            <w:r w:rsidRPr="00A45EA6">
              <w:t>will ensure that retailers are able to sell any existing stock on hand – without relabelling</w:t>
            </w:r>
            <w:r>
              <w:t>.</w:t>
            </w:r>
          </w:p>
          <w:p w14:paraId="5260995C" w14:textId="77777777" w:rsidR="00022915" w:rsidRDefault="00022915" w:rsidP="00C53AB1">
            <w:pPr>
              <w:pStyle w:val="Tabletext0"/>
            </w:pPr>
            <w:r>
              <w:t>In addition, a 24 month transition period will apply during which containers without a refund mark or displaying non-compliant labels will be accepted should ensure smooth transition. This position has been developed in consultation with beverage and retail industry representatives and represents their preferred position. It considers the needs of small retailers and producers, providing sufficient time to stock new labels, and to acknowledge long shelf lives of products such as cider.</w:t>
            </w:r>
          </w:p>
          <w:p w14:paraId="5EE84DFD" w14:textId="77777777" w:rsidR="00022915" w:rsidRDefault="00022915" w:rsidP="00C53AB1">
            <w:pPr>
              <w:pStyle w:val="Tabletext0"/>
            </w:pPr>
            <w:r w:rsidRPr="007F7F04">
              <w:t>In addition, the Western Australian Government has also built into the design of the CDS a number of features to specifically reduce impacts</w:t>
            </w:r>
            <w:r>
              <w:t xml:space="preserve"> for small beverage producers. </w:t>
            </w:r>
            <w:r w:rsidRPr="007F7F04">
              <w:t>These include: payment in arrears, quarterly reporting and quarterly payment of supply amounts, no charge for container approvals, and working with the scheme coordinator to simplify compliance and contract terms for small beverage suppliers.</w:t>
            </w:r>
          </w:p>
          <w:p w14:paraId="1104D9F9" w14:textId="77777777" w:rsidR="00022915" w:rsidRDefault="00022915" w:rsidP="00C53AB1">
            <w:pPr>
              <w:pStyle w:val="Tabletext0"/>
            </w:pPr>
            <w:r>
              <w:t>A</w:t>
            </w:r>
            <w:r w:rsidRPr="00AE5DC0">
              <w:t xml:space="preserve">ny impact will </w:t>
            </w:r>
            <w:r>
              <w:t xml:space="preserve">also </w:t>
            </w:r>
            <w:r w:rsidRPr="00AE5DC0">
              <w:t>be minimised by aligning the WA CDS with other jurisdictions.</w:t>
            </w:r>
            <w:r>
              <w:t xml:space="preserve"> </w:t>
            </w:r>
          </w:p>
          <w:p w14:paraId="022AF0FD" w14:textId="77777777" w:rsidR="00022915" w:rsidRPr="00A45EA6" w:rsidRDefault="00022915" w:rsidP="00C53AB1">
            <w:pPr>
              <w:pStyle w:val="Tabletext0"/>
            </w:pPr>
            <w:r w:rsidRPr="007F7F04">
              <w:t>I</w:t>
            </w:r>
            <w:r>
              <w:t xml:space="preserve">t is also noted that some international evidence suggests impacts may not be </w:t>
            </w:r>
            <w:r w:rsidRPr="007F7F04">
              <w:t>significant.  For instance, in Denmark a 2006 review of the CDS found that if anything competition had increased subsequent to the introduction of a CDS.</w:t>
            </w:r>
            <w:r w:rsidRPr="007F7F04">
              <w:rPr>
                <w:rStyle w:val="FootnoteReference"/>
              </w:rPr>
              <w:footnoteReference w:id="64"/>
            </w:r>
            <w:r w:rsidRPr="007F7F04">
              <w:t xml:space="preserve">  </w:t>
            </w:r>
          </w:p>
        </w:tc>
      </w:tr>
      <w:tr w:rsidR="00022915" w:rsidRPr="00C72A7A" w14:paraId="73181890" w14:textId="77777777" w:rsidTr="00C53AB1">
        <w:tc>
          <w:tcPr>
            <w:tcW w:w="4530" w:type="dxa"/>
          </w:tcPr>
          <w:p w14:paraId="773D1A6E" w14:textId="77777777" w:rsidR="00022915" w:rsidRPr="00C72A7A" w:rsidRDefault="00022915" w:rsidP="00C53AB1">
            <w:pPr>
              <w:pStyle w:val="Tabletext0"/>
              <w:rPr>
                <w:highlight w:val="yellow"/>
              </w:rPr>
            </w:pPr>
            <w:r>
              <w:t>…</w:t>
            </w:r>
            <w:r w:rsidRPr="00A45EA6">
              <w:t>irrespective of the markings, logo or text decided upon, it will require beverage manufacturers or retailers …to re-label and re-package their products – at their own expense. This requires time to enable old products to sell through and new products to fill the pipeline</w:t>
            </w:r>
          </w:p>
        </w:tc>
        <w:tc>
          <w:tcPr>
            <w:tcW w:w="4530" w:type="dxa"/>
            <w:vMerge/>
          </w:tcPr>
          <w:p w14:paraId="7E2BD85B" w14:textId="77777777" w:rsidR="00022915" w:rsidRPr="00C72A7A" w:rsidRDefault="00022915" w:rsidP="00C53AB1">
            <w:pPr>
              <w:rPr>
                <w:highlight w:val="yellow"/>
              </w:rPr>
            </w:pPr>
          </w:p>
        </w:tc>
      </w:tr>
      <w:tr w:rsidR="00022915" w:rsidRPr="00C72A7A" w14:paraId="730E8F02" w14:textId="77777777" w:rsidTr="00C53AB1">
        <w:tc>
          <w:tcPr>
            <w:tcW w:w="4530" w:type="dxa"/>
          </w:tcPr>
          <w:p w14:paraId="7E732FBD" w14:textId="77777777" w:rsidR="00022915" w:rsidRPr="00A45EA6" w:rsidRDefault="00022915" w:rsidP="00C53AB1">
            <w:pPr>
              <w:pStyle w:val="Tabletext0"/>
            </w:pPr>
            <w:r w:rsidRPr="00A45EA6">
              <w:t>The results of the CDS survey are misleading and should not be relied on as a reflection of public perception</w:t>
            </w:r>
          </w:p>
        </w:tc>
        <w:tc>
          <w:tcPr>
            <w:tcW w:w="4530" w:type="dxa"/>
          </w:tcPr>
          <w:p w14:paraId="23FB675D" w14:textId="77777777" w:rsidR="00022915" w:rsidRPr="00A45EA6" w:rsidRDefault="00022915" w:rsidP="00C53AB1">
            <w:pPr>
              <w:pStyle w:val="Tabletext0"/>
              <w:rPr>
                <w:vertAlign w:val="superscript"/>
              </w:rPr>
            </w:pPr>
            <w:r w:rsidRPr="00A45EA6">
              <w:t xml:space="preserve">No evidence is provided on why the CDS survey results are thought to be misleading.  It is noted that other jurisdictions’ surveys have also produced positive results, for example the Northern Territory undertook a survey in 2018 </w:t>
            </w:r>
            <w:r w:rsidRPr="002609EA">
              <w:t>which</w:t>
            </w:r>
            <w:r w:rsidRPr="00A45EA6">
              <w:t xml:space="preserve"> found that:</w:t>
            </w:r>
            <w:r w:rsidRPr="00A45EA6">
              <w:rPr>
                <w:vertAlign w:val="superscript"/>
              </w:rPr>
              <w:t>*</w:t>
            </w:r>
          </w:p>
          <w:p w14:paraId="7EB91E71" w14:textId="77777777" w:rsidR="00022915" w:rsidRPr="00A45EA6" w:rsidRDefault="00022915" w:rsidP="00C53AB1">
            <w:pPr>
              <w:pStyle w:val="Tablebullets1stindent"/>
            </w:pPr>
            <w:r w:rsidRPr="00A45EA6">
              <w:t xml:space="preserve">76% of respondents said the CDS is successful and </w:t>
            </w:r>
          </w:p>
          <w:p w14:paraId="1ED1D614" w14:textId="77777777" w:rsidR="00022915" w:rsidRPr="00A45EA6" w:rsidRDefault="00022915" w:rsidP="00C53AB1">
            <w:pPr>
              <w:pStyle w:val="Tablebullets1stindent"/>
            </w:pPr>
            <w:r w:rsidRPr="00A45EA6">
              <w:t>81% indicated they participate in the CDS because they are environmentally conscious</w:t>
            </w:r>
          </w:p>
        </w:tc>
      </w:tr>
      <w:tr w:rsidR="00022915" w:rsidRPr="00A45EA6" w14:paraId="669830F8" w14:textId="77777777" w:rsidTr="00C53AB1">
        <w:tc>
          <w:tcPr>
            <w:tcW w:w="4530" w:type="dxa"/>
          </w:tcPr>
          <w:p w14:paraId="10914673" w14:textId="77777777" w:rsidR="00022915" w:rsidRPr="00A45EA6" w:rsidRDefault="00022915" w:rsidP="00C53AB1">
            <w:pPr>
              <w:pStyle w:val="Tabletext0"/>
            </w:pPr>
            <w:r w:rsidRPr="00A45EA6">
              <w:t>The scheme will exploit the most vulnerable members of our community</w:t>
            </w:r>
          </w:p>
        </w:tc>
        <w:tc>
          <w:tcPr>
            <w:tcW w:w="4530" w:type="dxa"/>
          </w:tcPr>
          <w:p w14:paraId="30487408" w14:textId="77777777" w:rsidR="00022915" w:rsidRPr="00A45EA6" w:rsidRDefault="00022915" w:rsidP="00C53AB1">
            <w:pPr>
              <w:pStyle w:val="Tabletext0"/>
            </w:pPr>
            <w:r w:rsidRPr="00A45EA6">
              <w:t>No evidence is provided to support this statement.  The statement does not appear to be supported by experience in South Australia, Northern Territory</w:t>
            </w:r>
            <w:r>
              <w:t>,</w:t>
            </w:r>
            <w:r w:rsidRPr="00A45EA6">
              <w:t xml:space="preserve"> New South Wales</w:t>
            </w:r>
            <w:r>
              <w:t>, Queensland and</w:t>
            </w:r>
            <w:r w:rsidRPr="00A45EA6">
              <w:t xml:space="preserve"> the Australian Capital Territory</w:t>
            </w:r>
            <w:r>
              <w:t>.</w:t>
            </w:r>
          </w:p>
        </w:tc>
      </w:tr>
      <w:tr w:rsidR="00022915" w:rsidRPr="00C72A7A" w14:paraId="688D57F0" w14:textId="77777777" w:rsidTr="00C53AB1">
        <w:tc>
          <w:tcPr>
            <w:tcW w:w="4530" w:type="dxa"/>
          </w:tcPr>
          <w:p w14:paraId="779B80AB" w14:textId="77777777" w:rsidR="00022915" w:rsidRPr="00A45EA6" w:rsidRDefault="00022915" w:rsidP="00C53AB1">
            <w:pPr>
              <w:pStyle w:val="Tabletext0"/>
            </w:pPr>
            <w:r w:rsidRPr="00A45EA6">
              <w:t xml:space="preserve">The scheme is restricted to eligible containers which will lead to a decreased choice of products on shop shelves. </w:t>
            </w:r>
            <w:r>
              <w:t xml:space="preserve"> </w:t>
            </w:r>
            <w:r w:rsidRPr="00A45EA6">
              <w:t>Many imported products will not be eligible</w:t>
            </w:r>
            <w:r>
              <w:t>.</w:t>
            </w:r>
          </w:p>
        </w:tc>
        <w:tc>
          <w:tcPr>
            <w:tcW w:w="4530" w:type="dxa"/>
          </w:tcPr>
          <w:p w14:paraId="23A41383" w14:textId="77777777" w:rsidR="00022915" w:rsidRPr="00A45EA6" w:rsidRDefault="00022915" w:rsidP="00C53AB1">
            <w:pPr>
              <w:pStyle w:val="Tabletext0"/>
            </w:pPr>
            <w:r w:rsidRPr="00A45EA6">
              <w:t>This appears to be a misunderstanding of the scheme.  While all containers are required to be registered in one state or territory operating a CDS, this registration will not exclude imported products.</w:t>
            </w:r>
          </w:p>
        </w:tc>
      </w:tr>
    </w:tbl>
    <w:p w14:paraId="117379BE" w14:textId="77777777" w:rsidR="00022915" w:rsidRPr="00943655" w:rsidRDefault="00022915" w:rsidP="00022915">
      <w:pPr>
        <w:pStyle w:val="FootnoteText"/>
      </w:pPr>
      <w:r w:rsidRPr="00943655">
        <w:t xml:space="preserve">* </w:t>
      </w:r>
      <w:r w:rsidRPr="00943655">
        <w:tab/>
      </w:r>
      <w:hyperlink r:id="rId23" w:history="1">
        <w:r w:rsidRPr="00943655">
          <w:rPr>
            <w:rStyle w:val="Hyperlink"/>
          </w:rPr>
          <w:t>https://denr.nt.gov.au/news/container-deposit-scheme-review-update</w:t>
        </w:r>
      </w:hyperlink>
      <w:r w:rsidRPr="00943655">
        <w:t xml:space="preserve"> </w:t>
      </w:r>
    </w:p>
    <w:p w14:paraId="1612228D" w14:textId="77777777" w:rsidR="00022915" w:rsidRDefault="00022915" w:rsidP="00022915">
      <w:r w:rsidRPr="00A45EA6">
        <w:t xml:space="preserve">A summary of the </w:t>
      </w:r>
      <w:r>
        <w:t>issues</w:t>
      </w:r>
      <w:r w:rsidRPr="00A45EA6">
        <w:t xml:space="preserve"> raised in submissions that were supportive of the CDS, and the response to each point raised are set out in </w:t>
      </w:r>
      <w:r w:rsidRPr="00A45EA6">
        <w:fldChar w:fldCharType="begin"/>
      </w:r>
      <w:r w:rsidRPr="00A45EA6">
        <w:instrText xml:space="preserve"> REF _Ref530514860 \h  \* MERGEFORMAT </w:instrText>
      </w:r>
      <w:r w:rsidRPr="00A45EA6">
        <w:fldChar w:fldCharType="separate"/>
      </w:r>
      <w:r w:rsidRPr="00A45EA6">
        <w:t xml:space="preserve">Table </w:t>
      </w:r>
      <w:r>
        <w:rPr>
          <w:noProof/>
        </w:rPr>
        <w:t>16</w:t>
      </w:r>
      <w:r w:rsidRPr="00A45EA6">
        <w:fldChar w:fldCharType="end"/>
      </w:r>
      <w:r w:rsidRPr="00A45EA6">
        <w:t xml:space="preserve">. </w:t>
      </w:r>
      <w:r>
        <w:t xml:space="preserve"> </w:t>
      </w:r>
      <w:r w:rsidRPr="00A45EA6">
        <w:t xml:space="preserve">As noted in the response section no changes are proposed </w:t>
      </w:r>
      <w:r>
        <w:t>as a result of</w:t>
      </w:r>
      <w:r w:rsidRPr="00A45EA6">
        <w:t xml:space="preserve"> these submissions. </w:t>
      </w:r>
    </w:p>
    <w:p w14:paraId="50C43B5C" w14:textId="77777777" w:rsidR="00022915" w:rsidRDefault="00022915" w:rsidP="00022915">
      <w:r>
        <w:t>In addition to the substantive comments some respondents suggested various clarifications and corrections to the text of the RIS – which have been incorporated in this Decision RIS.</w:t>
      </w:r>
    </w:p>
    <w:p w14:paraId="132624D9" w14:textId="77777777" w:rsidR="00022915" w:rsidRPr="00A45EA6" w:rsidRDefault="00022915" w:rsidP="00022915"/>
    <w:p w14:paraId="396045F1" w14:textId="77777777" w:rsidR="00022915" w:rsidRDefault="00022915" w:rsidP="00022915"/>
    <w:p w14:paraId="3D67EF5D" w14:textId="77777777" w:rsidR="00022915" w:rsidRPr="00943655" w:rsidRDefault="00022915" w:rsidP="00022915">
      <w:pPr>
        <w:sectPr w:rsidR="00022915" w:rsidRPr="00943655" w:rsidSect="001F12B4">
          <w:footerReference w:type="even" r:id="rId24"/>
          <w:footerReference w:type="default" r:id="rId25"/>
          <w:pgSz w:w="11906" w:h="16838"/>
          <w:pgMar w:top="1440" w:right="1440" w:bottom="1440" w:left="1440" w:header="720" w:footer="720" w:gutter="0"/>
          <w:pgNumType w:start="1"/>
          <w:cols w:space="708"/>
          <w:docGrid w:linePitch="360"/>
        </w:sectPr>
      </w:pPr>
    </w:p>
    <w:p w14:paraId="5756A132" w14:textId="77777777" w:rsidR="00022915" w:rsidRPr="00A45EA6" w:rsidRDefault="00022915" w:rsidP="00022915">
      <w:pPr>
        <w:pStyle w:val="Caption"/>
      </w:pPr>
      <w:bookmarkStart w:id="203" w:name="_Ref530514860"/>
      <w:bookmarkStart w:id="204" w:name="_Toc10031225"/>
      <w:r w:rsidRPr="00A45EA6">
        <w:t xml:space="preserve">Table </w:t>
      </w:r>
      <w:r w:rsidR="00CF34D3">
        <w:rPr>
          <w:noProof/>
        </w:rPr>
        <w:fldChar w:fldCharType="begin"/>
      </w:r>
      <w:r w:rsidR="00CF34D3">
        <w:rPr>
          <w:noProof/>
        </w:rPr>
        <w:instrText xml:space="preserve"> SEQ Table \* ARABIC </w:instrText>
      </w:r>
      <w:r w:rsidR="00CF34D3">
        <w:rPr>
          <w:noProof/>
        </w:rPr>
        <w:fldChar w:fldCharType="separate"/>
      </w:r>
      <w:r>
        <w:rPr>
          <w:noProof/>
        </w:rPr>
        <w:t>16</w:t>
      </w:r>
      <w:r w:rsidR="00CF34D3">
        <w:rPr>
          <w:noProof/>
        </w:rPr>
        <w:fldChar w:fldCharType="end"/>
      </w:r>
      <w:bookmarkEnd w:id="203"/>
      <w:r w:rsidRPr="00A45EA6">
        <w:t>: Suggested changes made by respondents that were supportive</w:t>
      </w:r>
      <w:bookmarkEnd w:id="204"/>
    </w:p>
    <w:tbl>
      <w:tblPr>
        <w:tblStyle w:val="TableGrid"/>
        <w:tblW w:w="0" w:type="auto"/>
        <w:tblLook w:val="04A0" w:firstRow="1" w:lastRow="0" w:firstColumn="1" w:lastColumn="0" w:noHBand="0" w:noVBand="1"/>
      </w:tblPr>
      <w:tblGrid>
        <w:gridCol w:w="1413"/>
        <w:gridCol w:w="4824"/>
        <w:gridCol w:w="7711"/>
      </w:tblGrid>
      <w:tr w:rsidR="00022915" w:rsidRPr="00A45EA6" w14:paraId="3F61DED5" w14:textId="77777777" w:rsidTr="00C53AB1">
        <w:trPr>
          <w:tblHeader/>
        </w:trPr>
        <w:tc>
          <w:tcPr>
            <w:tcW w:w="1413" w:type="dxa"/>
          </w:tcPr>
          <w:p w14:paraId="3172CFE9" w14:textId="77777777" w:rsidR="00022915" w:rsidRPr="00A45EA6" w:rsidRDefault="00022915" w:rsidP="00C53AB1">
            <w:pPr>
              <w:pStyle w:val="Tableheading0"/>
            </w:pPr>
            <w:r w:rsidRPr="00A45EA6">
              <w:t>Topic</w:t>
            </w:r>
          </w:p>
        </w:tc>
        <w:tc>
          <w:tcPr>
            <w:tcW w:w="4824" w:type="dxa"/>
          </w:tcPr>
          <w:p w14:paraId="1C9EE1D5" w14:textId="77777777" w:rsidR="00022915" w:rsidRPr="00A45EA6" w:rsidRDefault="00022915" w:rsidP="00C53AB1">
            <w:pPr>
              <w:pStyle w:val="Tableheading0"/>
            </w:pPr>
            <w:r w:rsidRPr="00A45EA6">
              <w:t>Submission made</w:t>
            </w:r>
          </w:p>
        </w:tc>
        <w:tc>
          <w:tcPr>
            <w:tcW w:w="0" w:type="auto"/>
          </w:tcPr>
          <w:p w14:paraId="164A6719" w14:textId="77777777" w:rsidR="00022915" w:rsidRPr="00A45EA6" w:rsidRDefault="00022915" w:rsidP="00C53AB1">
            <w:pPr>
              <w:pStyle w:val="Tableheading0"/>
            </w:pPr>
            <w:r w:rsidRPr="00A45EA6">
              <w:t>Response</w:t>
            </w:r>
          </w:p>
        </w:tc>
      </w:tr>
      <w:tr w:rsidR="00022915" w:rsidRPr="00A45EA6" w14:paraId="005D2C6B" w14:textId="77777777" w:rsidTr="00C53AB1">
        <w:tc>
          <w:tcPr>
            <w:tcW w:w="1413" w:type="dxa"/>
          </w:tcPr>
          <w:p w14:paraId="28AE666D" w14:textId="77777777" w:rsidR="00022915" w:rsidRPr="00A45EA6" w:rsidRDefault="00022915" w:rsidP="00C53AB1">
            <w:pPr>
              <w:pStyle w:val="Tabletext0"/>
            </w:pPr>
            <w:r w:rsidRPr="00A45EA6">
              <w:t>Scope</w:t>
            </w:r>
          </w:p>
        </w:tc>
        <w:tc>
          <w:tcPr>
            <w:tcW w:w="4824" w:type="dxa"/>
          </w:tcPr>
          <w:p w14:paraId="459C1D4B" w14:textId="77777777" w:rsidR="00022915" w:rsidRPr="00A45EA6" w:rsidRDefault="00022915" w:rsidP="00C53AB1">
            <w:pPr>
              <w:pStyle w:val="Tabletext0"/>
            </w:pPr>
            <w:r w:rsidRPr="00A45EA6">
              <w:t>The range of containers that are eligible for the CDS should be broader.  Suggested containers to include were:</w:t>
            </w:r>
          </w:p>
          <w:p w14:paraId="111C9AD8" w14:textId="77777777" w:rsidR="00022915" w:rsidRPr="00A45EA6" w:rsidRDefault="00022915" w:rsidP="00C53AB1">
            <w:pPr>
              <w:pStyle w:val="Tablebullets1stindent"/>
            </w:pPr>
            <w:r w:rsidRPr="00A45EA6">
              <w:t>wine bottles</w:t>
            </w:r>
          </w:p>
          <w:p w14:paraId="116D06B8" w14:textId="77777777" w:rsidR="00022915" w:rsidRPr="00A45EA6" w:rsidRDefault="00022915" w:rsidP="00C53AB1">
            <w:pPr>
              <w:pStyle w:val="Tablebullets1stindent"/>
            </w:pPr>
            <w:r w:rsidRPr="00A45EA6">
              <w:t>paper cups</w:t>
            </w:r>
          </w:p>
          <w:p w14:paraId="1EA787CE" w14:textId="77777777" w:rsidR="00022915" w:rsidRPr="00A45EA6" w:rsidRDefault="00022915" w:rsidP="00C53AB1">
            <w:pPr>
              <w:pStyle w:val="Tablebullets1stindent"/>
            </w:pPr>
            <w:r w:rsidRPr="00A45EA6">
              <w:t xml:space="preserve">all glass containers </w:t>
            </w:r>
          </w:p>
          <w:p w14:paraId="1C119DD7" w14:textId="77777777" w:rsidR="00022915" w:rsidRPr="00A45EA6" w:rsidRDefault="00022915" w:rsidP="00C53AB1">
            <w:pPr>
              <w:pStyle w:val="Tablebullets1stindent"/>
            </w:pPr>
            <w:r w:rsidRPr="00A45EA6">
              <w:t>all beverage containers (including &lt;150ml)</w:t>
            </w:r>
          </w:p>
        </w:tc>
        <w:tc>
          <w:tcPr>
            <w:tcW w:w="0" w:type="auto"/>
          </w:tcPr>
          <w:p w14:paraId="6AE0F6D4" w14:textId="77777777" w:rsidR="00022915" w:rsidRPr="00A45EA6" w:rsidRDefault="00022915" w:rsidP="00C53AB1">
            <w:pPr>
              <w:pStyle w:val="Tabletext0"/>
            </w:pPr>
            <w:r w:rsidRPr="00A45EA6">
              <w:t xml:space="preserve">To minimise confusion for industry and consumers it is proposed to align the scheme with other jurisdictions.  </w:t>
            </w:r>
          </w:p>
          <w:p w14:paraId="536A05EC" w14:textId="77777777" w:rsidR="00022915" w:rsidRDefault="00022915" w:rsidP="00C53AB1">
            <w:pPr>
              <w:pStyle w:val="Tabletext0"/>
            </w:pPr>
            <w:r>
              <w:t xml:space="preserve">This will also minimise the cost to industry that operate across jurisdictions, particularly small operators. </w:t>
            </w:r>
          </w:p>
          <w:p w14:paraId="2571FF95" w14:textId="77777777" w:rsidR="00022915" w:rsidRPr="00A45EA6" w:rsidRDefault="00022915" w:rsidP="00C53AB1">
            <w:pPr>
              <w:pStyle w:val="Tabletext0"/>
            </w:pPr>
            <w:r w:rsidRPr="00A45EA6">
              <w:t>The only difference in eligibility between the proposed scheme and other schemes in Australia is that South Australia and the Northern Territory accept containers under 150 ml.</w:t>
            </w:r>
          </w:p>
          <w:p w14:paraId="2166D098" w14:textId="77777777" w:rsidR="00022915" w:rsidRPr="00A45EA6" w:rsidRDefault="00022915" w:rsidP="00C53AB1">
            <w:pPr>
              <w:pStyle w:val="Tabletext0"/>
            </w:pPr>
            <w:r>
              <w:t>These views were also supported by s</w:t>
            </w:r>
            <w:r w:rsidRPr="00A45EA6">
              <w:t xml:space="preserve">ome submissions </w:t>
            </w:r>
            <w:r>
              <w:t xml:space="preserve">that </w:t>
            </w:r>
            <w:r w:rsidRPr="00A45EA6">
              <w:t xml:space="preserve">indicated they considered it a benefit that the proposed scheme would align with other schemes.  </w:t>
            </w:r>
          </w:p>
        </w:tc>
      </w:tr>
      <w:tr w:rsidR="00022915" w:rsidRPr="00A45EA6" w14:paraId="2F280E38" w14:textId="77777777" w:rsidTr="00C53AB1">
        <w:tc>
          <w:tcPr>
            <w:tcW w:w="1413" w:type="dxa"/>
          </w:tcPr>
          <w:p w14:paraId="117DA624" w14:textId="77777777" w:rsidR="00022915" w:rsidRPr="00A45EA6" w:rsidRDefault="00022915" w:rsidP="00C53AB1">
            <w:pPr>
              <w:pStyle w:val="Tabletext0"/>
            </w:pPr>
            <w:r>
              <w:t>Objectives</w:t>
            </w:r>
          </w:p>
        </w:tc>
        <w:tc>
          <w:tcPr>
            <w:tcW w:w="4824" w:type="dxa"/>
          </w:tcPr>
          <w:p w14:paraId="1C5B7F6F" w14:textId="77777777" w:rsidR="00022915" w:rsidRDefault="00022915" w:rsidP="00C53AB1">
            <w:pPr>
              <w:pStyle w:val="Tabletext0"/>
            </w:pPr>
            <w:r>
              <w:t>Use of more targeted objectives, for instance:</w:t>
            </w:r>
          </w:p>
          <w:p w14:paraId="7D348AB0" w14:textId="77777777" w:rsidR="00022915" w:rsidRDefault="00022915" w:rsidP="00C53AB1">
            <w:pPr>
              <w:pStyle w:val="Tablebullets1stindent"/>
            </w:pPr>
            <w:r>
              <w:t>Litter Reduction</w:t>
            </w:r>
          </w:p>
          <w:p w14:paraId="63B96B49" w14:textId="77777777" w:rsidR="00022915" w:rsidRDefault="00022915" w:rsidP="00C53AB1">
            <w:pPr>
              <w:pStyle w:val="Tablebullets1stindent"/>
            </w:pPr>
            <w:r>
              <w:t>Resource recovery and reduction of waste to landfill</w:t>
            </w:r>
          </w:p>
          <w:p w14:paraId="5B55B858" w14:textId="77777777" w:rsidR="00022915" w:rsidRDefault="00022915" w:rsidP="00C53AB1">
            <w:pPr>
              <w:pStyle w:val="Tablebullets1stindent"/>
            </w:pPr>
            <w:r>
              <w:t>Community participation and benefit</w:t>
            </w:r>
          </w:p>
          <w:p w14:paraId="028DE63C" w14:textId="77777777" w:rsidR="00022915" w:rsidRPr="00A45EA6" w:rsidRDefault="00022915" w:rsidP="00C53AB1">
            <w:pPr>
              <w:pStyle w:val="Tablebullets1stindent"/>
            </w:pPr>
            <w:r>
              <w:t>A more appropriate distribution of the costs associated with container management.</w:t>
            </w:r>
          </w:p>
        </w:tc>
        <w:tc>
          <w:tcPr>
            <w:tcW w:w="0" w:type="auto"/>
          </w:tcPr>
          <w:p w14:paraId="18C62C3E" w14:textId="77777777" w:rsidR="00022915" w:rsidRDefault="00022915" w:rsidP="00C53AB1">
            <w:pPr>
              <w:pStyle w:val="Tabletext0"/>
            </w:pPr>
            <w:r>
              <w:t>The objectives have been amended to:</w:t>
            </w:r>
          </w:p>
          <w:p w14:paraId="059C12F5" w14:textId="77777777" w:rsidR="00022915" w:rsidRDefault="00022915" w:rsidP="00C53AB1">
            <w:pPr>
              <w:pStyle w:val="Tablebullets1stindent"/>
            </w:pPr>
            <w:r>
              <w:t>increase the recovery and recycling of empty beverage containers; and</w:t>
            </w:r>
          </w:p>
          <w:p w14:paraId="4F8FEF9C" w14:textId="77777777" w:rsidR="00022915" w:rsidRDefault="00022915" w:rsidP="00C53AB1">
            <w:pPr>
              <w:pStyle w:val="Tablebullets1stindent"/>
            </w:pPr>
            <w:r>
              <w:t xml:space="preserve">reduce the number of empty beverage containers that are disposed of as litter or to landfill; </w:t>
            </w:r>
            <w:r w:rsidRPr="0080361A">
              <w:t>and</w:t>
            </w:r>
          </w:p>
          <w:p w14:paraId="5FE80CC3" w14:textId="77777777" w:rsidR="00022915" w:rsidRDefault="00022915" w:rsidP="00C53AB1">
            <w:pPr>
              <w:pStyle w:val="Tablebullets1stindent"/>
            </w:pPr>
            <w:r>
              <w:t xml:space="preserve">ensure that first responsible suppliers of beverage products meet their product stewardship responsibility in relation to their beverage products; </w:t>
            </w:r>
            <w:r w:rsidRPr="0080361A">
              <w:t>and</w:t>
            </w:r>
          </w:p>
          <w:p w14:paraId="643E6D8E" w14:textId="77777777" w:rsidR="00022915" w:rsidRDefault="00022915" w:rsidP="00C53AB1">
            <w:pPr>
              <w:pStyle w:val="Tablebullets1stindent"/>
            </w:pPr>
            <w:r>
              <w:t xml:space="preserve">provide opportunities for social enterprise, and benefits for community organisations, through participation in the container deposit scheme; </w:t>
            </w:r>
            <w:r w:rsidRPr="0080361A">
              <w:t>and</w:t>
            </w:r>
          </w:p>
          <w:p w14:paraId="49FDBCD3" w14:textId="77777777" w:rsidR="00022915" w:rsidRDefault="00022915" w:rsidP="00C53AB1">
            <w:pPr>
              <w:pStyle w:val="Tablebullets1stindent"/>
            </w:pPr>
            <w:r>
              <w:t xml:space="preserve">create opportunities for employment; and </w:t>
            </w:r>
          </w:p>
          <w:p w14:paraId="2641B522" w14:textId="77777777" w:rsidR="00022915" w:rsidRDefault="00022915" w:rsidP="00C53AB1">
            <w:pPr>
              <w:pStyle w:val="Tablebullets1stindent"/>
            </w:pPr>
            <w:r>
              <w:t>complement existing collection and recycling activities for recyclable waste.</w:t>
            </w:r>
          </w:p>
          <w:p w14:paraId="41CEA1F5" w14:textId="77777777" w:rsidR="00022915" w:rsidRPr="00A45EA6" w:rsidRDefault="00022915" w:rsidP="00C53AB1">
            <w:pPr>
              <w:pStyle w:val="Tabletext0"/>
            </w:pPr>
            <w:r>
              <w:t xml:space="preserve">This is to </w:t>
            </w:r>
            <w:r w:rsidRPr="005F61B6">
              <w:t>make</w:t>
            </w:r>
            <w:r>
              <w:t xml:space="preserve"> the objectives more targeted and to better reflect the WARR Act, the draft Waste Strategy and the State Government’s policy objectives for the scheme.</w:t>
            </w:r>
          </w:p>
        </w:tc>
      </w:tr>
      <w:tr w:rsidR="00022915" w:rsidRPr="00A45EA6" w14:paraId="45BDB8E3" w14:textId="77777777" w:rsidTr="00C53AB1">
        <w:tc>
          <w:tcPr>
            <w:tcW w:w="1413" w:type="dxa"/>
          </w:tcPr>
          <w:p w14:paraId="2EB6487F" w14:textId="77777777" w:rsidR="00022915" w:rsidRPr="00A45EA6" w:rsidRDefault="00022915" w:rsidP="00C53AB1">
            <w:pPr>
              <w:pStyle w:val="Tabletext0"/>
            </w:pPr>
            <w:r>
              <w:t>Targets</w:t>
            </w:r>
          </w:p>
        </w:tc>
        <w:tc>
          <w:tcPr>
            <w:tcW w:w="4824" w:type="dxa"/>
          </w:tcPr>
          <w:p w14:paraId="2207F4EC" w14:textId="77777777" w:rsidR="00022915" w:rsidRPr="00A45EA6" w:rsidRDefault="00022915" w:rsidP="00C53AB1">
            <w:pPr>
              <w:pStyle w:val="Tabletext0"/>
            </w:pPr>
            <w:r>
              <w:t>E</w:t>
            </w:r>
            <w:r w:rsidRPr="005F61B6">
              <w:t>nsure that the objectives could be linked to measurable, action-based targets</w:t>
            </w:r>
          </w:p>
        </w:tc>
        <w:tc>
          <w:tcPr>
            <w:tcW w:w="0" w:type="auto"/>
          </w:tcPr>
          <w:p w14:paraId="264BD1D6" w14:textId="77777777" w:rsidR="00022915" w:rsidRPr="00A45EA6" w:rsidRDefault="00022915" w:rsidP="00C53AB1">
            <w:pPr>
              <w:pStyle w:val="Tabletext0"/>
            </w:pPr>
            <w:r>
              <w:t xml:space="preserve">These have been developed in consultation with stakeholders with key targets relating to return rates and minimum numbers and locations of refund points specified in regulations. The regulations also establish a Reporting Code that specifies a suite of reporting requirements that address each of the statutory objectives of the scheme as well as the statutory functions of the scheme coordinator. These </w:t>
            </w:r>
            <w:r w:rsidRPr="00383476">
              <w:t>reporting requirements</w:t>
            </w:r>
            <w:r>
              <w:t xml:space="preserve"> have also been developed in consultation with </w:t>
            </w:r>
            <w:r w:rsidRPr="00383476">
              <w:t>stakeholders</w:t>
            </w:r>
            <w:r>
              <w:t xml:space="preserve"> through the CDS stakeholder consultation groups.</w:t>
            </w:r>
          </w:p>
        </w:tc>
      </w:tr>
      <w:tr w:rsidR="00022915" w:rsidRPr="00A45EA6" w14:paraId="42785586" w14:textId="77777777" w:rsidTr="00C53AB1">
        <w:tc>
          <w:tcPr>
            <w:tcW w:w="1413" w:type="dxa"/>
          </w:tcPr>
          <w:p w14:paraId="1A6AB482" w14:textId="77777777" w:rsidR="00022915" w:rsidRPr="00A45EA6" w:rsidRDefault="00022915" w:rsidP="00C53AB1">
            <w:pPr>
              <w:pStyle w:val="Tabletext0"/>
            </w:pPr>
            <w:r w:rsidRPr="00A45EA6">
              <w:t>Refund value</w:t>
            </w:r>
          </w:p>
        </w:tc>
        <w:tc>
          <w:tcPr>
            <w:tcW w:w="4824" w:type="dxa"/>
          </w:tcPr>
          <w:p w14:paraId="0A9BA31D" w14:textId="77777777" w:rsidR="00022915" w:rsidRPr="00A45EA6" w:rsidRDefault="00022915" w:rsidP="00C53AB1">
            <w:pPr>
              <w:pStyle w:val="Tabletext0"/>
            </w:pPr>
            <w:r w:rsidRPr="00A45EA6">
              <w:t>Refund value should be greater</w:t>
            </w:r>
          </w:p>
        </w:tc>
        <w:tc>
          <w:tcPr>
            <w:tcW w:w="0" w:type="auto"/>
          </w:tcPr>
          <w:p w14:paraId="0FCD58BE" w14:textId="77777777" w:rsidR="00022915" w:rsidRPr="00A45EA6" w:rsidRDefault="00022915" w:rsidP="00C53AB1">
            <w:pPr>
              <w:pStyle w:val="Tabletext0"/>
            </w:pPr>
            <w:r w:rsidRPr="00A45EA6">
              <w:t xml:space="preserve">The refund value was selected as it appears sufficient to drive behaviour change in other jurisdictions.  </w:t>
            </w:r>
          </w:p>
          <w:p w14:paraId="53D23642" w14:textId="77777777" w:rsidR="00022915" w:rsidRPr="00A45EA6" w:rsidRDefault="00022915" w:rsidP="00C53AB1">
            <w:pPr>
              <w:pStyle w:val="Tabletext0"/>
            </w:pPr>
            <w:r w:rsidRPr="00A45EA6">
              <w:t>In addition, once the scheme is implemented in Western Australia, the refund value will be consistent across all CDSs across Australia which will minimise confusion for industry and consumers.</w:t>
            </w:r>
          </w:p>
        </w:tc>
      </w:tr>
      <w:tr w:rsidR="00022915" w:rsidRPr="00C72A7A" w14:paraId="05628ADB" w14:textId="77777777" w:rsidTr="00C53AB1">
        <w:tc>
          <w:tcPr>
            <w:tcW w:w="1413" w:type="dxa"/>
          </w:tcPr>
          <w:p w14:paraId="1D75BD77" w14:textId="77777777" w:rsidR="00022915" w:rsidRPr="00A45EA6" w:rsidRDefault="00022915" w:rsidP="00C53AB1">
            <w:pPr>
              <w:pStyle w:val="Tabletext0"/>
            </w:pPr>
            <w:r w:rsidRPr="00A45EA6">
              <w:t>Reverse vending machines</w:t>
            </w:r>
          </w:p>
        </w:tc>
        <w:tc>
          <w:tcPr>
            <w:tcW w:w="4824" w:type="dxa"/>
          </w:tcPr>
          <w:p w14:paraId="48F23228" w14:textId="77777777" w:rsidR="00022915" w:rsidRPr="00A45EA6" w:rsidRDefault="00022915" w:rsidP="00C53AB1">
            <w:pPr>
              <w:pStyle w:val="Tabletext0"/>
            </w:pPr>
            <w:r w:rsidRPr="00A45EA6">
              <w:t>Supply of Reverse Vending Machines should - avoid creating a monopoly.</w:t>
            </w:r>
          </w:p>
          <w:p w14:paraId="0E7AFDA7" w14:textId="77777777" w:rsidR="00022915" w:rsidRPr="00A45EA6" w:rsidRDefault="00022915" w:rsidP="00C53AB1">
            <w:pPr>
              <w:pStyle w:val="Tabletext0"/>
            </w:pPr>
            <w:r w:rsidRPr="00A45EA6">
              <w:t>The location of collection points and estimate of 100 suggests a model has been selected and the numbers may be inadequate.</w:t>
            </w:r>
          </w:p>
          <w:p w14:paraId="1F61B055" w14:textId="77777777" w:rsidR="00022915" w:rsidRPr="00A45EA6" w:rsidRDefault="00022915" w:rsidP="00C53AB1">
            <w:pPr>
              <w:pStyle w:val="Tabletext0"/>
            </w:pPr>
            <w:r w:rsidRPr="00A45EA6">
              <w:t>Refund model / Payment system adopted should not be paper but should be electronic</w:t>
            </w:r>
          </w:p>
        </w:tc>
        <w:tc>
          <w:tcPr>
            <w:tcW w:w="0" w:type="auto"/>
          </w:tcPr>
          <w:p w14:paraId="01B67D5B" w14:textId="77777777" w:rsidR="00022915" w:rsidRPr="00A45EA6" w:rsidRDefault="00022915" w:rsidP="00C53AB1">
            <w:pPr>
              <w:pStyle w:val="Tabletext0"/>
            </w:pPr>
            <w:r w:rsidRPr="00A45EA6">
              <w:t xml:space="preserve">In undertaking the </w:t>
            </w:r>
            <w:r>
              <w:t xml:space="preserve">cost-benefit </w:t>
            </w:r>
            <w:r w:rsidRPr="00A45EA6">
              <w:t xml:space="preserve">analysis for the RIS, estimates were made based on research of industry and other jurisdictions.  This is done to ensure the values included are realistic.  </w:t>
            </w:r>
          </w:p>
          <w:p w14:paraId="50F3C2AE" w14:textId="77777777" w:rsidR="00022915" w:rsidRPr="00A45EA6" w:rsidRDefault="00022915" w:rsidP="00C53AB1">
            <w:pPr>
              <w:pStyle w:val="Tabletext0"/>
            </w:pPr>
            <w:r w:rsidRPr="00A45EA6">
              <w:t xml:space="preserve">However, types, models and final numbers of Reverse Vending Machines have not been selected and will be the </w:t>
            </w:r>
            <w:r>
              <w:t>decided through the collection network procurement process to be undertaken by</w:t>
            </w:r>
            <w:r w:rsidRPr="00A45EA6">
              <w:t xml:space="preserve"> the </w:t>
            </w:r>
            <w:r>
              <w:t>scheme coordinator</w:t>
            </w:r>
            <w:r w:rsidRPr="00A45EA6">
              <w:t>.</w:t>
            </w:r>
          </w:p>
          <w:p w14:paraId="32807703" w14:textId="77777777" w:rsidR="00022915" w:rsidRPr="00A45EA6" w:rsidRDefault="00022915" w:rsidP="00C53AB1">
            <w:pPr>
              <w:pStyle w:val="Tabletext0"/>
            </w:pPr>
            <w:r w:rsidRPr="00A45EA6">
              <w:t>The Western Australian Government is technology agnostic and is instead seeking to develop an effective and efficient scheme.</w:t>
            </w:r>
          </w:p>
        </w:tc>
      </w:tr>
      <w:tr w:rsidR="00022915" w14:paraId="375DFDCD" w14:textId="77777777" w:rsidTr="00C53AB1">
        <w:trPr>
          <w:cantSplit/>
        </w:trPr>
        <w:tc>
          <w:tcPr>
            <w:tcW w:w="1413" w:type="dxa"/>
          </w:tcPr>
          <w:p w14:paraId="3075A217" w14:textId="77777777" w:rsidR="00022915" w:rsidRPr="00A45EA6" w:rsidRDefault="00022915" w:rsidP="00C53AB1">
            <w:pPr>
              <w:pStyle w:val="Tabletext0"/>
            </w:pPr>
            <w:r w:rsidRPr="00A45EA6">
              <w:t>TTMRA</w:t>
            </w:r>
          </w:p>
        </w:tc>
        <w:tc>
          <w:tcPr>
            <w:tcW w:w="4824" w:type="dxa"/>
          </w:tcPr>
          <w:p w14:paraId="2BD81E7A" w14:textId="77777777" w:rsidR="00022915" w:rsidRPr="00A45EA6" w:rsidRDefault="00022915" w:rsidP="00C53AB1">
            <w:pPr>
              <w:pStyle w:val="Tabletext0"/>
            </w:pPr>
            <w:r w:rsidRPr="00A45EA6">
              <w:t>The New Zealand government raised queries over what would occur if a TTMRA exemption is not obtained.</w:t>
            </w:r>
          </w:p>
        </w:tc>
        <w:tc>
          <w:tcPr>
            <w:tcW w:w="0" w:type="auto"/>
          </w:tcPr>
          <w:p w14:paraId="1D160B29" w14:textId="77777777" w:rsidR="00022915" w:rsidRPr="00A45EA6" w:rsidRDefault="00022915" w:rsidP="00C53AB1">
            <w:pPr>
              <w:pStyle w:val="Tabletext0"/>
            </w:pPr>
            <w:r w:rsidRPr="00A45EA6">
              <w:t xml:space="preserve">It is noted that </w:t>
            </w:r>
            <w:r>
              <w:t xml:space="preserve">the CDS schemes in </w:t>
            </w:r>
            <w:r w:rsidRPr="00A45EA6">
              <w:t xml:space="preserve">New South Wales </w:t>
            </w:r>
            <w:r>
              <w:t>and Queensland</w:t>
            </w:r>
            <w:r w:rsidRPr="00A45EA6">
              <w:t xml:space="preserve"> do not yet have a permanent exemption under the TTMR Act. However, these jurisdictions do have a temporary exemption under the TTMR Act as this Act (unlike the</w:t>
            </w:r>
            <w:r>
              <w:t> </w:t>
            </w:r>
            <w:r w:rsidRPr="00A45EA6">
              <w:t>MR</w:t>
            </w:r>
            <w:r>
              <w:t> </w:t>
            </w:r>
            <w:r w:rsidRPr="00A45EA6">
              <w:t xml:space="preserve">Act) allows a temporary exemption to be renewed.  </w:t>
            </w:r>
          </w:p>
          <w:p w14:paraId="71B6D964" w14:textId="77777777" w:rsidR="00022915" w:rsidRPr="00A45EA6" w:rsidRDefault="00022915" w:rsidP="00C53AB1">
            <w:pPr>
              <w:pStyle w:val="Tabletext0"/>
              <w:keepNext/>
              <w:keepLines/>
            </w:pPr>
            <w:r w:rsidRPr="00A45EA6">
              <w:t>Ideally a permanent exemption under the TTMR Act will be implemented in the near future as this would provide regulatory certainty and better aligns with the identified features of good regulation.</w:t>
            </w:r>
            <w:r w:rsidRPr="00A45EA6">
              <w:rPr>
                <w:rStyle w:val="FootnoteReference"/>
              </w:rPr>
              <w:footnoteReference w:id="65"/>
            </w:r>
            <w:r w:rsidRPr="00A45EA6">
              <w:t xml:space="preserve">  If an exemption (temporary or permanent) is not applied under the TTMR Act (or a temporary exemption were to lapse) then beverages imported from New Zealand would be excluded from the CDS - which would have a number of undesirable impacts.  For example, the exclusion of beverages bottled in New Zealand would:</w:t>
            </w:r>
          </w:p>
          <w:p w14:paraId="0EBEC5B2" w14:textId="77777777" w:rsidR="00022915" w:rsidRPr="00A45EA6" w:rsidRDefault="00022915" w:rsidP="00C53AB1">
            <w:pPr>
              <w:pStyle w:val="Tablebullets1stindent"/>
            </w:pPr>
            <w:r w:rsidRPr="00A45EA6">
              <w:t>cause confusion for members of the public and the industry, as no refund would be payable for these beverage containers; and</w:t>
            </w:r>
          </w:p>
          <w:p w14:paraId="47B2F496" w14:textId="77777777" w:rsidR="00022915" w:rsidRPr="00A45EA6" w:rsidRDefault="00022915" w:rsidP="00C53AB1">
            <w:pPr>
              <w:pStyle w:val="Tablebullets1stindent"/>
            </w:pPr>
            <w:r w:rsidRPr="00A45EA6">
              <w:t>distort the competitive market for beverages and beverage bottling, as New Zealand products would not include a deposit or handling fee – making these products cheaper to purchase.</w:t>
            </w:r>
          </w:p>
        </w:tc>
      </w:tr>
      <w:tr w:rsidR="00022915" w14:paraId="33F3A908" w14:textId="77777777" w:rsidTr="00C53AB1">
        <w:trPr>
          <w:cantSplit/>
        </w:trPr>
        <w:tc>
          <w:tcPr>
            <w:tcW w:w="1413" w:type="dxa"/>
          </w:tcPr>
          <w:p w14:paraId="2BDE7D1D" w14:textId="77777777" w:rsidR="00022915" w:rsidRPr="00A45EA6" w:rsidRDefault="00022915" w:rsidP="00C53AB1">
            <w:pPr>
              <w:pStyle w:val="Tabletext0"/>
            </w:pPr>
            <w:r>
              <w:t>Refund points</w:t>
            </w:r>
          </w:p>
        </w:tc>
        <w:tc>
          <w:tcPr>
            <w:tcW w:w="4824" w:type="dxa"/>
          </w:tcPr>
          <w:p w14:paraId="11727AA2" w14:textId="77777777" w:rsidR="00022915" w:rsidRPr="00A45EA6" w:rsidRDefault="00022915" w:rsidP="00C53AB1">
            <w:pPr>
              <w:pStyle w:val="Tabletext0"/>
            </w:pPr>
            <w:r>
              <w:t>A detailed proposal on the estimated, minimum number and type of Scheme access points is yet to be presented</w:t>
            </w:r>
          </w:p>
        </w:tc>
        <w:tc>
          <w:tcPr>
            <w:tcW w:w="0" w:type="auto"/>
          </w:tcPr>
          <w:p w14:paraId="6FD75C0F" w14:textId="77777777" w:rsidR="00022915" w:rsidRPr="00A45EA6" w:rsidRDefault="00022915" w:rsidP="00C53AB1">
            <w:pPr>
              <w:pStyle w:val="Tabletext0"/>
            </w:pPr>
            <w:r>
              <w:t xml:space="preserve">Subsequent to the Consultation RIS, the </w:t>
            </w:r>
            <w:r w:rsidRPr="003D786E">
              <w:rPr>
                <w:i/>
              </w:rPr>
              <w:t>Minimum network standards: Refund point locations and hours of operation</w:t>
            </w:r>
            <w:r w:rsidRPr="003D786E">
              <w:t xml:space="preserve"> were subject to a separate public consultation process from 25 October 2018 to 6 December 2018.</w:t>
            </w:r>
            <w:r w:rsidRPr="003D786E">
              <w:rPr>
                <w:rStyle w:val="FootnoteReference"/>
              </w:rPr>
              <w:footnoteReference w:id="66"/>
            </w:r>
            <w:r w:rsidRPr="003D786E">
              <w:t xml:space="preserve"> The final minimum network standards</w:t>
            </w:r>
            <w:r w:rsidRPr="003D786E" w:rsidDel="0050156A">
              <w:t xml:space="preserve"> </w:t>
            </w:r>
            <w:r w:rsidRPr="003D786E">
              <w:t>are informed by the submissions to this process.  This Decision</w:t>
            </w:r>
            <w:r>
              <w:t xml:space="preserve"> Regulation Impact Statement has been updated to reflect these </w:t>
            </w:r>
            <w:r w:rsidRPr="003D786E">
              <w:t>minimum network standards</w:t>
            </w:r>
            <w:r>
              <w:t>.</w:t>
            </w:r>
          </w:p>
        </w:tc>
      </w:tr>
      <w:tr w:rsidR="00022915" w14:paraId="0C4ED7DE" w14:textId="77777777" w:rsidTr="00C53AB1">
        <w:trPr>
          <w:cantSplit/>
        </w:trPr>
        <w:tc>
          <w:tcPr>
            <w:tcW w:w="1413" w:type="dxa"/>
          </w:tcPr>
          <w:p w14:paraId="25A85BDE" w14:textId="77777777" w:rsidR="00022915" w:rsidRPr="00A45EA6" w:rsidRDefault="00022915" w:rsidP="00C53AB1">
            <w:pPr>
              <w:pStyle w:val="Tabletext0"/>
            </w:pPr>
            <w:r>
              <w:t>Review</w:t>
            </w:r>
          </w:p>
        </w:tc>
        <w:tc>
          <w:tcPr>
            <w:tcW w:w="4824" w:type="dxa"/>
          </w:tcPr>
          <w:p w14:paraId="46D923D2" w14:textId="77777777" w:rsidR="00022915" w:rsidRPr="008C4BD2" w:rsidRDefault="00022915" w:rsidP="00C53AB1">
            <w:pPr>
              <w:autoSpaceDE w:val="0"/>
              <w:autoSpaceDN w:val="0"/>
              <w:adjustRightInd w:val="0"/>
              <w:rPr>
                <w:szCs w:val="19"/>
              </w:rPr>
            </w:pPr>
            <w:r w:rsidRPr="008C4BD2">
              <w:rPr>
                <w:szCs w:val="19"/>
              </w:rPr>
              <w:t xml:space="preserve">The Scheme be reviewed within two – three years, to determine if: </w:t>
            </w:r>
          </w:p>
          <w:p w14:paraId="134016C5" w14:textId="77777777" w:rsidR="00022915" w:rsidRPr="0077188C" w:rsidRDefault="00022915" w:rsidP="00C53AB1">
            <w:pPr>
              <w:pStyle w:val="Tablebullets1stindent"/>
            </w:pPr>
            <w:r w:rsidRPr="0077188C">
              <w:t xml:space="preserve">The refund amount and handling fees should increase </w:t>
            </w:r>
          </w:p>
          <w:p w14:paraId="1CB63120" w14:textId="77777777" w:rsidR="00022915" w:rsidRPr="0077188C" w:rsidRDefault="00022915" w:rsidP="00C53AB1">
            <w:pPr>
              <w:pStyle w:val="Tablebullets1stindent"/>
            </w:pPr>
            <w:r w:rsidRPr="0077188C">
              <w:t xml:space="preserve">The scope of eligible Containers should be increased </w:t>
            </w:r>
          </w:p>
          <w:p w14:paraId="14875CE3" w14:textId="77777777" w:rsidR="00022915" w:rsidRPr="00A45EA6" w:rsidRDefault="00022915" w:rsidP="00C53AB1">
            <w:pPr>
              <w:pStyle w:val="Tablebullets1stindent"/>
            </w:pPr>
            <w:r w:rsidRPr="0077188C">
              <w:t xml:space="preserve">Different handling fees should be applied to problematic materials </w:t>
            </w:r>
          </w:p>
        </w:tc>
        <w:tc>
          <w:tcPr>
            <w:tcW w:w="0" w:type="auto"/>
          </w:tcPr>
          <w:p w14:paraId="28033626" w14:textId="77777777" w:rsidR="00022915" w:rsidRDefault="00022915" w:rsidP="00C53AB1">
            <w:pPr>
              <w:pStyle w:val="Tabletext0"/>
            </w:pPr>
            <w:r>
              <w:t xml:space="preserve">The </w:t>
            </w:r>
            <w:r w:rsidRPr="008C4BD2">
              <w:rPr>
                <w:i/>
              </w:rPr>
              <w:t xml:space="preserve">Waste Avoidance and Resource Recovery Act </w:t>
            </w:r>
            <w:r w:rsidRPr="00551490">
              <w:t>includes</w:t>
            </w:r>
            <w:r>
              <w:t xml:space="preserve"> the following review mechanisms:</w:t>
            </w:r>
          </w:p>
          <w:p w14:paraId="1E4126CC" w14:textId="77777777" w:rsidR="00022915" w:rsidRDefault="00022915" w:rsidP="00C53AB1">
            <w:pPr>
              <w:pStyle w:val="Tablebullets1stindent"/>
            </w:pPr>
            <w:r>
              <w:t xml:space="preserve">a review every five years.  </w:t>
            </w:r>
          </w:p>
          <w:p w14:paraId="447A3587" w14:textId="77777777" w:rsidR="00022915" w:rsidRDefault="00022915" w:rsidP="00C53AB1">
            <w:pPr>
              <w:pStyle w:val="Tablebullets1stindent"/>
            </w:pPr>
            <w:r>
              <w:t xml:space="preserve">the Minister can require a review of and/or amend the regulations at any time.  This allows alignment with any multi-jurisdictional review of the scope of eligible containers or the value of the refund. </w:t>
            </w:r>
          </w:p>
          <w:p w14:paraId="1F645895" w14:textId="77777777" w:rsidR="00022915" w:rsidRDefault="00022915" w:rsidP="00C53AB1">
            <w:pPr>
              <w:pStyle w:val="Tablebullets1stindent"/>
            </w:pPr>
            <w:r>
              <w:t>The performance of the scheme coordinator and network will be reviewed on a regular basis through the reporting required of the scheme coordinator under the Reporting Code, and through regular reviews by the Western Australian CDS’s administrator, DWER.</w:t>
            </w:r>
          </w:p>
          <w:p w14:paraId="67A70C1E" w14:textId="77777777" w:rsidR="00022915" w:rsidRDefault="00022915" w:rsidP="00C53AB1">
            <w:pPr>
              <w:pStyle w:val="Tabletext0"/>
            </w:pPr>
            <w:r>
              <w:t>This appears to be suitable to:</w:t>
            </w:r>
          </w:p>
          <w:p w14:paraId="0E88B963" w14:textId="77777777" w:rsidR="00022915" w:rsidRDefault="00022915" w:rsidP="00C53AB1">
            <w:pPr>
              <w:pStyle w:val="Tablebullets1stindent"/>
            </w:pPr>
            <w:r>
              <w:t>obtain sufficient data to make informed decisions,</w:t>
            </w:r>
          </w:p>
          <w:p w14:paraId="2E3CC051" w14:textId="77777777" w:rsidR="00022915" w:rsidRDefault="00022915" w:rsidP="00C53AB1">
            <w:pPr>
              <w:pStyle w:val="Tablebullets1stindent"/>
            </w:pPr>
            <w:r>
              <w:t xml:space="preserve">for the Minster to decide that an earlier review should be undertaken, </w:t>
            </w:r>
          </w:p>
          <w:p w14:paraId="6BAAA37D" w14:textId="77777777" w:rsidR="00022915" w:rsidRPr="00A45EA6" w:rsidRDefault="00022915" w:rsidP="00C53AB1">
            <w:pPr>
              <w:pStyle w:val="Tablebullets1stindent"/>
            </w:pPr>
            <w:r>
              <w:t>targets and reporting requirements will assist identifying improvements, or significant issues that would give cause for an early review of the CDS.</w:t>
            </w:r>
          </w:p>
        </w:tc>
      </w:tr>
    </w:tbl>
    <w:p w14:paraId="47BC1107" w14:textId="77777777" w:rsidR="00022915" w:rsidRDefault="00022915" w:rsidP="00022915"/>
    <w:p w14:paraId="14E607EC" w14:textId="77777777" w:rsidR="00022915" w:rsidRDefault="00022915" w:rsidP="00022915"/>
    <w:p w14:paraId="57CA9C0F" w14:textId="77777777" w:rsidR="00022915" w:rsidRDefault="00022915" w:rsidP="00022915"/>
    <w:p w14:paraId="12D1D58D" w14:textId="77777777" w:rsidR="00022915" w:rsidRDefault="00022915" w:rsidP="00022915">
      <w:pPr>
        <w:sectPr w:rsidR="00022915" w:rsidSect="001F12B4">
          <w:pgSz w:w="16838" w:h="11906" w:orient="landscape"/>
          <w:pgMar w:top="1440" w:right="1440" w:bottom="1440" w:left="1440" w:header="720" w:footer="720" w:gutter="0"/>
          <w:cols w:space="708"/>
          <w:docGrid w:linePitch="360"/>
        </w:sectPr>
      </w:pPr>
    </w:p>
    <w:p w14:paraId="16FA3D7E" w14:textId="77777777" w:rsidR="00022915" w:rsidRDefault="00022915" w:rsidP="00022915">
      <w:pPr>
        <w:pStyle w:val="Heading1"/>
        <w:keepNext w:val="0"/>
        <w:spacing w:before="240" w:after="240"/>
      </w:pPr>
      <w:bookmarkStart w:id="205" w:name="_Toc500154264"/>
      <w:bookmarkStart w:id="206" w:name="_Toc9375382"/>
      <w:r>
        <w:t>Recommendation</w:t>
      </w:r>
      <w:bookmarkEnd w:id="205"/>
      <w:bookmarkEnd w:id="206"/>
    </w:p>
    <w:p w14:paraId="1915D841" w14:textId="77777777" w:rsidR="00022915" w:rsidRPr="003D79D5" w:rsidRDefault="00022915" w:rsidP="00022915">
      <w:r w:rsidRPr="003D79D5">
        <w:t xml:space="preserve">As demonstrated through this </w:t>
      </w:r>
      <w:r>
        <w:t>Decision</w:t>
      </w:r>
      <w:r w:rsidRPr="003D79D5">
        <w:t xml:space="preserve"> RIS, Option</w:t>
      </w:r>
      <w:r>
        <w:t> 2</w:t>
      </w:r>
      <w:r w:rsidRPr="003D79D5">
        <w:t xml:space="preserve"> </w:t>
      </w:r>
      <w:r>
        <w:t xml:space="preserve">(the development of a CDS for Western Australia and a supporting </w:t>
      </w:r>
      <w:r w:rsidRPr="003D79D5">
        <w:t xml:space="preserve">permanent exemption of the </w:t>
      </w:r>
      <w:r>
        <w:t xml:space="preserve">Western Australian </w:t>
      </w:r>
      <w:r w:rsidRPr="003D79D5">
        <w:t>C</w:t>
      </w:r>
      <w:r>
        <w:t>DS</w:t>
      </w:r>
      <w:r w:rsidRPr="003D79D5">
        <w:rPr>
          <w:rStyle w:val="FootnoteReference"/>
        </w:rPr>
        <w:footnoteReference w:id="67"/>
      </w:r>
      <w:r w:rsidRPr="003D79D5">
        <w:t xml:space="preserve"> under the MR</w:t>
      </w:r>
      <w:r>
        <w:t xml:space="preserve"> </w:t>
      </w:r>
      <w:r w:rsidRPr="003D79D5">
        <w:t>A</w:t>
      </w:r>
      <w:r>
        <w:t>ct</w:t>
      </w:r>
      <w:r w:rsidRPr="003D79D5">
        <w:t xml:space="preserve"> and TTMR</w:t>
      </w:r>
      <w:r>
        <w:t xml:space="preserve"> </w:t>
      </w:r>
      <w:r w:rsidRPr="003D79D5">
        <w:t>A</w:t>
      </w:r>
      <w:r>
        <w:t>ct)</w:t>
      </w:r>
      <w:r w:rsidRPr="003D79D5">
        <w:t xml:space="preserve"> is the only option that will allow</w:t>
      </w:r>
      <w:r>
        <w:t xml:space="preserve"> Western Australia </w:t>
      </w:r>
      <w:r w:rsidRPr="003D79D5">
        <w:t xml:space="preserve">to achieve its </w:t>
      </w:r>
      <w:r>
        <w:t>principal policy objectives of reducing litter, increasing recycling and protecting the environment.</w:t>
      </w:r>
    </w:p>
    <w:p w14:paraId="7615E20B" w14:textId="77777777" w:rsidR="00022915" w:rsidRDefault="00022915" w:rsidP="00022915">
      <w:r w:rsidRPr="003D79D5">
        <w:t xml:space="preserve">As set out in </w:t>
      </w:r>
      <w:r w:rsidRPr="00E077D4">
        <w:t xml:space="preserve">sections 3 and 4, </w:t>
      </w:r>
      <w:r>
        <w:t xml:space="preserve">the Western Australian Government </w:t>
      </w:r>
      <w:r w:rsidRPr="00E077D4">
        <w:t xml:space="preserve">has assessed alternative strategies and has determined that aligning </w:t>
      </w:r>
      <w:r>
        <w:t>the Western Australian CDS with</w:t>
      </w:r>
      <w:r w:rsidRPr="00E077D4">
        <w:t xml:space="preserve"> those of other jurisdictions would be the most effective way to minimise costs and confusion for both industry and consumers.</w:t>
      </w:r>
    </w:p>
    <w:p w14:paraId="408DB52F" w14:textId="77777777" w:rsidR="00022915" w:rsidRPr="003D79D5" w:rsidRDefault="00022915" w:rsidP="00022915">
      <w:r w:rsidRPr="00F754B1">
        <w:t>Importantly, the Government has designed the scheme to minimise costs and to work with existing schemes, such as kerbside recycling, and this now forms an objective of the scheme.  Although</w:t>
      </w:r>
      <w:r w:rsidRPr="003D79D5">
        <w:t xml:space="preserve"> the results of the</w:t>
      </w:r>
      <w:r>
        <w:t> </w:t>
      </w:r>
      <w:r w:rsidRPr="003D79D5">
        <w:t>cost</w:t>
      </w:r>
      <w:r>
        <w:noBreakHyphen/>
      </w:r>
      <w:r w:rsidRPr="003D79D5">
        <w:t>benefit analysis are dependent on some key inputs</w:t>
      </w:r>
      <w:r>
        <w:t>,</w:t>
      </w:r>
      <w:r w:rsidRPr="003D79D5">
        <w:t xml:space="preserve"> the program is expected to deliver a net benefit to </w:t>
      </w:r>
      <w:r>
        <w:t>Western Australia</w:t>
      </w:r>
      <w:r w:rsidRPr="003D79D5">
        <w:t xml:space="preserve">. </w:t>
      </w:r>
      <w:r>
        <w:t xml:space="preserve"> </w:t>
      </w:r>
      <w:r w:rsidRPr="003D79D5">
        <w:t xml:space="preserve">The economic analysis is detailed in </w:t>
      </w:r>
      <w:r>
        <w:t>S</w:t>
      </w:r>
      <w:r w:rsidRPr="003D79D5">
        <w:t>ection 4 of th</w:t>
      </w:r>
      <w:r>
        <w:t>is</w:t>
      </w:r>
      <w:r w:rsidRPr="003D79D5">
        <w:t xml:space="preserve"> RIS.</w:t>
      </w:r>
    </w:p>
    <w:p w14:paraId="176CA936" w14:textId="77777777" w:rsidR="00022915" w:rsidRPr="003D79D5" w:rsidRDefault="00022915" w:rsidP="00022915">
      <w:r w:rsidRPr="003D79D5">
        <w:t xml:space="preserve">The economic analysis also demonstrates that the program will have minimal impacts outside of </w:t>
      </w:r>
      <w:r>
        <w:t>Western Australia, as New South Wales, Queensland, South Australia, the Australian Capital Territory and the Northern Territory all have similar schemes.</w:t>
      </w:r>
    </w:p>
    <w:p w14:paraId="3EA44DFD" w14:textId="77777777" w:rsidR="00022915" w:rsidRDefault="00022915" w:rsidP="00022915">
      <w:r>
        <w:t>Based on this analysis, it is recommended that Western Australia introduce the </w:t>
      </w:r>
      <w:r w:rsidRPr="003D79D5">
        <w:t xml:space="preserve"> reform </w:t>
      </w:r>
      <w:r>
        <w:t xml:space="preserve">through amendments to the WARR Act </w:t>
      </w:r>
      <w:r w:rsidRPr="003D79D5">
        <w:t>and th</w:t>
      </w:r>
      <w:r>
        <w:t>at</w:t>
      </w:r>
      <w:r w:rsidRPr="003D79D5">
        <w:t xml:space="preserve"> </w:t>
      </w:r>
      <w:r>
        <w:t>COAG progress the permanent exemption of the Western Australian CDS under the MR Act and the TTMR Act.</w:t>
      </w:r>
    </w:p>
    <w:p w14:paraId="4050C6CA" w14:textId="77777777" w:rsidR="00022915" w:rsidRDefault="00022915" w:rsidP="00022915">
      <w:r>
        <w:br w:type="page"/>
      </w:r>
    </w:p>
    <w:p w14:paraId="75E71217" w14:textId="77777777" w:rsidR="00022915" w:rsidRDefault="00022915" w:rsidP="00022915">
      <w:pPr>
        <w:pStyle w:val="Heading1"/>
        <w:keepNext w:val="0"/>
        <w:spacing w:before="240" w:after="240"/>
      </w:pPr>
      <w:bookmarkStart w:id="207" w:name="_Toc500154265"/>
      <w:bookmarkStart w:id="208" w:name="_Toc9375383"/>
      <w:r>
        <w:t>Implementation and review</w:t>
      </w:r>
      <w:bookmarkEnd w:id="207"/>
      <w:bookmarkEnd w:id="208"/>
    </w:p>
    <w:p w14:paraId="3CADECF9" w14:textId="77777777" w:rsidR="00022915" w:rsidRDefault="00022915" w:rsidP="00022915">
      <w:pPr>
        <w:pStyle w:val="Heading2"/>
      </w:pPr>
      <w:bookmarkStart w:id="209" w:name="_Toc500154266"/>
      <w:bookmarkStart w:id="210" w:name="_Toc9375384"/>
      <w:r>
        <w:t>Commencement</w:t>
      </w:r>
      <w:bookmarkEnd w:id="209"/>
      <w:bookmarkEnd w:id="210"/>
    </w:p>
    <w:p w14:paraId="7768E698" w14:textId="77777777" w:rsidR="00022915" w:rsidRPr="003D79D5" w:rsidRDefault="00022915" w:rsidP="00022915">
      <w:pPr>
        <w:pStyle w:val="BodyText"/>
      </w:pPr>
      <w:r w:rsidRPr="003D79D5">
        <w:t>The</w:t>
      </w:r>
      <w:r>
        <w:t xml:space="preserve"> Western Australian CDS is</w:t>
      </w:r>
      <w:r w:rsidRPr="003D79D5">
        <w:t xml:space="preserve"> planned to commence </w:t>
      </w:r>
      <w:r>
        <w:t>in 2020</w:t>
      </w:r>
      <w:r w:rsidRPr="003D79D5">
        <w:t>.</w:t>
      </w:r>
    </w:p>
    <w:p w14:paraId="0E6342C4" w14:textId="77777777" w:rsidR="00022915" w:rsidRDefault="00022915" w:rsidP="00022915">
      <w:pPr>
        <w:pStyle w:val="BodyText"/>
      </w:pPr>
      <w:r w:rsidRPr="003D79D5">
        <w:t xml:space="preserve">The </w:t>
      </w:r>
      <w:r>
        <w:t xml:space="preserve">amendments to the primary </w:t>
      </w:r>
      <w:r w:rsidRPr="003D79D5">
        <w:t xml:space="preserve">legislation </w:t>
      </w:r>
      <w:r>
        <w:t>(</w:t>
      </w:r>
      <w:r w:rsidRPr="00CD4F51">
        <w:t>the WARR Act</w:t>
      </w:r>
      <w:r>
        <w:t>) were introduced</w:t>
      </w:r>
      <w:r w:rsidRPr="00F177C0">
        <w:t xml:space="preserve"> </w:t>
      </w:r>
      <w:r>
        <w:t>in the P</w:t>
      </w:r>
      <w:r w:rsidRPr="003D79D5">
        <w:t>arliament</w:t>
      </w:r>
      <w:r>
        <w:t xml:space="preserve"> of Western Australia</w:t>
      </w:r>
      <w:r w:rsidRPr="005362BF">
        <w:t xml:space="preserve"> </w:t>
      </w:r>
      <w:r>
        <w:t>during the 2018 Spring session and t</w:t>
      </w:r>
      <w:r w:rsidRPr="0033002D">
        <w:t xml:space="preserve">he </w:t>
      </w:r>
      <w:r w:rsidRPr="0033002D">
        <w:rPr>
          <w:i/>
        </w:rPr>
        <w:t>Waste Avoidance and Resource Recovery Amendment (Container Deposit) Act 2019</w:t>
      </w:r>
      <w:r>
        <w:rPr>
          <w:i/>
        </w:rPr>
        <w:t xml:space="preserve"> </w:t>
      </w:r>
      <w:r>
        <w:t>was passed in March 2019.</w:t>
      </w:r>
    </w:p>
    <w:p w14:paraId="11052243" w14:textId="77777777" w:rsidR="00022915" w:rsidRDefault="00022915" w:rsidP="00022915">
      <w:pPr>
        <w:pStyle w:val="Heading2"/>
      </w:pPr>
      <w:bookmarkStart w:id="211" w:name="_Toc509917117"/>
      <w:bookmarkStart w:id="212" w:name="_Toc500154267"/>
      <w:bookmarkStart w:id="213" w:name="_Toc9375385"/>
      <w:bookmarkEnd w:id="211"/>
      <w:r>
        <w:t>Review</w:t>
      </w:r>
      <w:bookmarkEnd w:id="212"/>
      <w:bookmarkEnd w:id="213"/>
      <w:r>
        <w:t xml:space="preserve"> </w:t>
      </w:r>
    </w:p>
    <w:p w14:paraId="0D001BA4" w14:textId="77777777" w:rsidR="00022915" w:rsidRPr="004A2EB5" w:rsidRDefault="00022915" w:rsidP="00022915">
      <w:r w:rsidRPr="004A2EB5">
        <w:t xml:space="preserve">The WARR Act includes a provision for a review every </w:t>
      </w:r>
      <w:r>
        <w:t xml:space="preserve">five </w:t>
      </w:r>
      <w:r w:rsidRPr="004A2EB5">
        <w:t>years.</w:t>
      </w:r>
      <w:r>
        <w:t xml:space="preserve"> </w:t>
      </w:r>
      <w:r w:rsidRPr="004A2EB5">
        <w:t xml:space="preserve"> In addition, the</w:t>
      </w:r>
      <w:r>
        <w:t> </w:t>
      </w:r>
      <w:r w:rsidRPr="004A2EB5">
        <w:t xml:space="preserve">Minister </w:t>
      </w:r>
      <w:r>
        <w:t>can require</w:t>
      </w:r>
      <w:r w:rsidRPr="004A2EB5">
        <w:t xml:space="preserve"> a review </w:t>
      </w:r>
      <w:r>
        <w:t xml:space="preserve">of and/or amend the regulations at any time.  This allows alignment with any </w:t>
      </w:r>
      <w:r w:rsidRPr="004A2EB5">
        <w:t>multi</w:t>
      </w:r>
      <w:r>
        <w:noBreakHyphen/>
      </w:r>
      <w:r w:rsidRPr="004A2EB5">
        <w:t xml:space="preserve">jurisdictional review of the </w:t>
      </w:r>
      <w:r>
        <w:t>scope of eligible containers or the value of the refund</w:t>
      </w:r>
      <w:r w:rsidRPr="004A2EB5">
        <w:t xml:space="preserve">. </w:t>
      </w:r>
    </w:p>
    <w:p w14:paraId="58311800" w14:textId="77777777" w:rsidR="00022915" w:rsidRDefault="00022915" w:rsidP="00022915">
      <w:r w:rsidRPr="004A2EB5">
        <w:t xml:space="preserve">The </w:t>
      </w:r>
      <w:r>
        <w:t xml:space="preserve">performance of the </w:t>
      </w:r>
      <w:r w:rsidRPr="004A2EB5">
        <w:t xml:space="preserve">scheme coordinator and network will be reviewed on a regular basis through the </w:t>
      </w:r>
      <w:r>
        <w:t xml:space="preserve">reporting requirements required of the </w:t>
      </w:r>
      <w:r w:rsidRPr="004A2EB5">
        <w:t>scheme coordinator</w:t>
      </w:r>
      <w:r>
        <w:t>, and through regular reviews by the Western Australian CDS</w:t>
      </w:r>
      <w:r w:rsidRPr="004A2EB5">
        <w:t xml:space="preserve">’s </w:t>
      </w:r>
      <w:r>
        <w:t>administrator, DWER</w:t>
      </w:r>
      <w:r w:rsidRPr="004A2EB5">
        <w:t>.</w:t>
      </w:r>
    </w:p>
    <w:p w14:paraId="6E72A565" w14:textId="77777777" w:rsidR="00022915" w:rsidRDefault="00022915" w:rsidP="00022915">
      <w:pPr>
        <w:pStyle w:val="Heading1nonumbering"/>
      </w:pPr>
      <w:bookmarkStart w:id="214" w:name="_Toc9375386"/>
      <w:bookmarkStart w:id="215" w:name="_Toc142884603"/>
      <w:bookmarkStart w:id="216" w:name="_Toc142884818"/>
      <w:bookmarkStart w:id="217" w:name="_Toc142886919"/>
      <w:bookmarkStart w:id="218" w:name="_Toc222718709"/>
      <w:r>
        <w:t>Shortened forms</w:t>
      </w:r>
      <w:bookmarkEnd w:id="214"/>
    </w:p>
    <w:tbl>
      <w:tblPr>
        <w:tblW w:w="9837" w:type="dxa"/>
        <w:tblLayout w:type="fixed"/>
        <w:tblLook w:val="0000" w:firstRow="0" w:lastRow="0" w:firstColumn="0" w:lastColumn="0" w:noHBand="0" w:noVBand="0"/>
      </w:tblPr>
      <w:tblGrid>
        <w:gridCol w:w="2041"/>
        <w:gridCol w:w="7796"/>
      </w:tblGrid>
      <w:tr w:rsidR="00022915" w:rsidRPr="00315353" w14:paraId="255FB198" w14:textId="77777777" w:rsidTr="00C53AB1">
        <w:tc>
          <w:tcPr>
            <w:tcW w:w="2041" w:type="dxa"/>
            <w:vAlign w:val="bottom"/>
          </w:tcPr>
          <w:p w14:paraId="3F3FF506" w14:textId="77777777" w:rsidR="00022915" w:rsidRPr="00B65325" w:rsidRDefault="00022915" w:rsidP="00C53AB1">
            <w:pPr>
              <w:rPr>
                <w:rStyle w:val="Bold"/>
              </w:rPr>
            </w:pPr>
            <w:r w:rsidRPr="00B65325">
              <w:rPr>
                <w:rStyle w:val="Bold"/>
              </w:rPr>
              <w:t>CDS</w:t>
            </w:r>
          </w:p>
        </w:tc>
        <w:tc>
          <w:tcPr>
            <w:tcW w:w="7796" w:type="dxa"/>
          </w:tcPr>
          <w:p w14:paraId="13A7BF39" w14:textId="77777777" w:rsidR="00022915" w:rsidRPr="00315353" w:rsidRDefault="00022915" w:rsidP="00C53AB1">
            <w:r>
              <w:t>C</w:t>
            </w:r>
            <w:r w:rsidRPr="00315353">
              <w:t>ontainer deposit scheme</w:t>
            </w:r>
          </w:p>
        </w:tc>
      </w:tr>
      <w:tr w:rsidR="00022915" w:rsidRPr="00315353" w14:paraId="1DAFEE08" w14:textId="77777777" w:rsidTr="00C53AB1">
        <w:tc>
          <w:tcPr>
            <w:tcW w:w="2041" w:type="dxa"/>
            <w:vAlign w:val="bottom"/>
          </w:tcPr>
          <w:p w14:paraId="632CDD6C" w14:textId="77777777" w:rsidR="00022915" w:rsidRPr="00B65325" w:rsidRDefault="00022915" w:rsidP="00C53AB1">
            <w:pPr>
              <w:rPr>
                <w:rStyle w:val="Bold"/>
              </w:rPr>
            </w:pPr>
            <w:r w:rsidRPr="00B65325">
              <w:rPr>
                <w:rStyle w:val="Bold"/>
              </w:rPr>
              <w:t>CO2e</w:t>
            </w:r>
          </w:p>
          <w:p w14:paraId="4B3763D5" w14:textId="77777777" w:rsidR="00022915" w:rsidRPr="00B65325" w:rsidRDefault="00022915" w:rsidP="00C53AB1">
            <w:pPr>
              <w:rPr>
                <w:rStyle w:val="Bold"/>
              </w:rPr>
            </w:pPr>
            <w:r w:rsidRPr="00B65325">
              <w:rPr>
                <w:rStyle w:val="Bold"/>
              </w:rPr>
              <w:t>COAG</w:t>
            </w:r>
          </w:p>
        </w:tc>
        <w:tc>
          <w:tcPr>
            <w:tcW w:w="7796" w:type="dxa"/>
          </w:tcPr>
          <w:p w14:paraId="26FDB5ED" w14:textId="77777777" w:rsidR="00022915" w:rsidRDefault="00022915" w:rsidP="00C53AB1">
            <w:r>
              <w:t>Carbon dioxide equivalent</w:t>
            </w:r>
          </w:p>
          <w:p w14:paraId="6E390CE0" w14:textId="77777777" w:rsidR="00022915" w:rsidRPr="00315353" w:rsidRDefault="00022915" w:rsidP="00C53AB1">
            <w:r w:rsidRPr="00315353">
              <w:t>Council of Australian Government</w:t>
            </w:r>
          </w:p>
        </w:tc>
      </w:tr>
      <w:tr w:rsidR="00022915" w:rsidRPr="00315353" w14:paraId="1F44CA9A" w14:textId="77777777" w:rsidTr="00C53AB1">
        <w:tc>
          <w:tcPr>
            <w:tcW w:w="2041" w:type="dxa"/>
            <w:vAlign w:val="bottom"/>
          </w:tcPr>
          <w:p w14:paraId="014B57BE" w14:textId="77777777" w:rsidR="00022915" w:rsidRPr="00B65325" w:rsidRDefault="00022915" w:rsidP="00C53AB1">
            <w:pPr>
              <w:rPr>
                <w:rStyle w:val="Bold"/>
              </w:rPr>
            </w:pPr>
            <w:r w:rsidRPr="00B65325">
              <w:rPr>
                <w:rStyle w:val="Bold"/>
              </w:rPr>
              <w:t>DWER</w:t>
            </w:r>
          </w:p>
        </w:tc>
        <w:tc>
          <w:tcPr>
            <w:tcW w:w="7796" w:type="dxa"/>
          </w:tcPr>
          <w:p w14:paraId="4271B54B" w14:textId="77777777" w:rsidR="00022915" w:rsidRPr="00315353" w:rsidRDefault="00022915" w:rsidP="00C53AB1">
            <w:r>
              <w:t xml:space="preserve">Department of Water and Environmental Regulation </w:t>
            </w:r>
          </w:p>
        </w:tc>
      </w:tr>
      <w:tr w:rsidR="00022915" w:rsidRPr="00315353" w14:paraId="73E588CD" w14:textId="77777777" w:rsidTr="00C53AB1">
        <w:tc>
          <w:tcPr>
            <w:tcW w:w="2041" w:type="dxa"/>
            <w:vAlign w:val="bottom"/>
          </w:tcPr>
          <w:p w14:paraId="2D1D3868" w14:textId="77777777" w:rsidR="00022915" w:rsidRPr="00B65325" w:rsidRDefault="00022915" w:rsidP="00C53AB1">
            <w:pPr>
              <w:rPr>
                <w:rStyle w:val="Bold"/>
              </w:rPr>
            </w:pPr>
            <w:r w:rsidRPr="00B65325">
              <w:rPr>
                <w:rStyle w:val="Bold"/>
              </w:rPr>
              <w:t>GST</w:t>
            </w:r>
          </w:p>
        </w:tc>
        <w:tc>
          <w:tcPr>
            <w:tcW w:w="7796" w:type="dxa"/>
          </w:tcPr>
          <w:p w14:paraId="5509CC0A" w14:textId="77777777" w:rsidR="00022915" w:rsidRPr="00315353" w:rsidRDefault="00022915" w:rsidP="00C53AB1">
            <w:r>
              <w:t>G</w:t>
            </w:r>
            <w:r w:rsidRPr="00315353">
              <w:t>oods and services tax</w:t>
            </w:r>
          </w:p>
        </w:tc>
      </w:tr>
      <w:tr w:rsidR="00022915" w:rsidRPr="00315353" w14:paraId="2F12E347" w14:textId="77777777" w:rsidTr="00C53AB1">
        <w:tc>
          <w:tcPr>
            <w:tcW w:w="2041" w:type="dxa"/>
            <w:vAlign w:val="bottom"/>
          </w:tcPr>
          <w:p w14:paraId="47BE1343" w14:textId="77777777" w:rsidR="00022915" w:rsidRPr="00B65325" w:rsidRDefault="00022915" w:rsidP="00C53AB1">
            <w:pPr>
              <w:rPr>
                <w:rStyle w:val="Bold"/>
              </w:rPr>
            </w:pPr>
            <w:r w:rsidRPr="00B65325">
              <w:rPr>
                <w:rStyle w:val="Bold"/>
              </w:rPr>
              <w:t>MR Act</w:t>
            </w:r>
          </w:p>
        </w:tc>
        <w:tc>
          <w:tcPr>
            <w:tcW w:w="7796" w:type="dxa"/>
          </w:tcPr>
          <w:p w14:paraId="61F5D5AB" w14:textId="77777777" w:rsidR="00022915" w:rsidRPr="00315353" w:rsidRDefault="00022915" w:rsidP="00C53AB1">
            <w:r w:rsidRPr="00566994">
              <w:t>Mutual Recognition Act 1992</w:t>
            </w:r>
            <w:r w:rsidRPr="00315353">
              <w:t xml:space="preserve"> (Commonwealth)</w:t>
            </w:r>
          </w:p>
        </w:tc>
      </w:tr>
      <w:tr w:rsidR="00022915" w:rsidRPr="00315353" w14:paraId="6B7478E9" w14:textId="77777777" w:rsidTr="00C53AB1">
        <w:tc>
          <w:tcPr>
            <w:tcW w:w="2041" w:type="dxa"/>
            <w:vAlign w:val="bottom"/>
          </w:tcPr>
          <w:p w14:paraId="02A5F2B0" w14:textId="77777777" w:rsidR="00022915" w:rsidRPr="00B65325" w:rsidRDefault="00022915" w:rsidP="00C53AB1">
            <w:pPr>
              <w:rPr>
                <w:rStyle w:val="Bold"/>
              </w:rPr>
            </w:pPr>
            <w:r w:rsidRPr="00B65325">
              <w:rPr>
                <w:rStyle w:val="Bold"/>
              </w:rPr>
              <w:t>RIS</w:t>
            </w:r>
          </w:p>
        </w:tc>
        <w:tc>
          <w:tcPr>
            <w:tcW w:w="7796" w:type="dxa"/>
          </w:tcPr>
          <w:p w14:paraId="335BFFE3" w14:textId="77777777" w:rsidR="00022915" w:rsidRPr="00315353" w:rsidRDefault="00022915" w:rsidP="00C53AB1">
            <w:r w:rsidRPr="00315353">
              <w:t xml:space="preserve">Regulation </w:t>
            </w:r>
            <w:r>
              <w:t xml:space="preserve">or regulatory </w:t>
            </w:r>
            <w:r w:rsidRPr="00315353">
              <w:t>impact statement</w:t>
            </w:r>
          </w:p>
        </w:tc>
      </w:tr>
      <w:tr w:rsidR="00022915" w:rsidRPr="00315353" w14:paraId="7CD377CA" w14:textId="77777777" w:rsidTr="00C53AB1">
        <w:tc>
          <w:tcPr>
            <w:tcW w:w="2041" w:type="dxa"/>
            <w:vAlign w:val="bottom"/>
          </w:tcPr>
          <w:p w14:paraId="6E4F847E" w14:textId="77777777" w:rsidR="00022915" w:rsidRPr="00B65325" w:rsidRDefault="00022915" w:rsidP="00C53AB1">
            <w:pPr>
              <w:rPr>
                <w:rStyle w:val="Bold"/>
              </w:rPr>
            </w:pPr>
            <w:r w:rsidRPr="00B65325">
              <w:rPr>
                <w:rStyle w:val="Bold"/>
              </w:rPr>
              <w:t>TTMR Act</w:t>
            </w:r>
          </w:p>
        </w:tc>
        <w:tc>
          <w:tcPr>
            <w:tcW w:w="7796" w:type="dxa"/>
          </w:tcPr>
          <w:p w14:paraId="7B9ACDBB" w14:textId="77777777" w:rsidR="00022915" w:rsidRPr="00315353" w:rsidRDefault="00022915" w:rsidP="00C53AB1">
            <w:r w:rsidRPr="00566994">
              <w:t>Trans-Tasman Mutual Recognition Act 1997</w:t>
            </w:r>
            <w:r w:rsidRPr="00315353">
              <w:t xml:space="preserve"> (Commonwealth)</w:t>
            </w:r>
          </w:p>
        </w:tc>
      </w:tr>
      <w:tr w:rsidR="00022915" w:rsidRPr="00315353" w14:paraId="1A8DA52D" w14:textId="77777777" w:rsidTr="00C53AB1">
        <w:tc>
          <w:tcPr>
            <w:tcW w:w="2041" w:type="dxa"/>
            <w:vAlign w:val="bottom"/>
          </w:tcPr>
          <w:p w14:paraId="57A78022" w14:textId="77777777" w:rsidR="00022915" w:rsidRPr="00B65325" w:rsidRDefault="00022915" w:rsidP="00C53AB1">
            <w:pPr>
              <w:rPr>
                <w:rStyle w:val="Bold"/>
              </w:rPr>
            </w:pPr>
            <w:r w:rsidRPr="00B65325">
              <w:rPr>
                <w:rStyle w:val="Bold"/>
              </w:rPr>
              <w:t>WAAR Act</w:t>
            </w:r>
          </w:p>
        </w:tc>
        <w:tc>
          <w:tcPr>
            <w:tcW w:w="7796" w:type="dxa"/>
          </w:tcPr>
          <w:p w14:paraId="4FEB8D04" w14:textId="77777777" w:rsidR="00022915" w:rsidRPr="0081302D" w:rsidRDefault="00022915" w:rsidP="00C53AB1">
            <w:r w:rsidRPr="00566994">
              <w:t>Waste Avoidance and Resource Recovery Act 2007</w:t>
            </w:r>
            <w:r>
              <w:t xml:space="preserve"> (WA)</w:t>
            </w:r>
          </w:p>
        </w:tc>
      </w:tr>
    </w:tbl>
    <w:p w14:paraId="47067734" w14:textId="77777777" w:rsidR="00022915" w:rsidRDefault="00022915" w:rsidP="00022915">
      <w:pPr>
        <w:pStyle w:val="Heading1nonumbering"/>
      </w:pPr>
      <w:bookmarkStart w:id="219" w:name="_Toc9375387"/>
      <w:r>
        <w:t>Glossary</w:t>
      </w:r>
      <w:bookmarkEnd w:id="215"/>
      <w:bookmarkEnd w:id="216"/>
      <w:bookmarkEnd w:id="217"/>
      <w:bookmarkEnd w:id="218"/>
      <w:bookmarkEnd w:id="219"/>
    </w:p>
    <w:tbl>
      <w:tblPr>
        <w:tblW w:w="9837" w:type="dxa"/>
        <w:tblLayout w:type="fixed"/>
        <w:tblLook w:val="0000" w:firstRow="0" w:lastRow="0" w:firstColumn="0" w:lastColumn="0" w:noHBand="0" w:noVBand="0"/>
      </w:tblPr>
      <w:tblGrid>
        <w:gridCol w:w="2041"/>
        <w:gridCol w:w="7796"/>
      </w:tblGrid>
      <w:tr w:rsidR="00022915" w:rsidRPr="002A6CD8" w14:paraId="0F8038E1" w14:textId="77777777" w:rsidTr="00C53AB1">
        <w:tc>
          <w:tcPr>
            <w:tcW w:w="2041" w:type="dxa"/>
          </w:tcPr>
          <w:p w14:paraId="5E17E725" w14:textId="77777777" w:rsidR="00022915" w:rsidRPr="002A6CD8" w:rsidRDefault="00022915" w:rsidP="00C53AB1">
            <w:pPr>
              <w:rPr>
                <w:rFonts w:cs="Arial"/>
                <w:b/>
              </w:rPr>
            </w:pPr>
            <w:bookmarkStart w:id="220" w:name="_Hlk506195079"/>
            <w:r w:rsidRPr="002A6CD8">
              <w:rPr>
                <w:rFonts w:cs="Arial"/>
              </w:rPr>
              <w:t>Donation point</w:t>
            </w:r>
          </w:p>
        </w:tc>
        <w:tc>
          <w:tcPr>
            <w:tcW w:w="7796" w:type="dxa"/>
          </w:tcPr>
          <w:p w14:paraId="560B6DCD" w14:textId="77777777" w:rsidR="00022915" w:rsidRPr="002A6CD8" w:rsidRDefault="00022915" w:rsidP="00C53AB1">
            <w:r w:rsidRPr="002A6CD8">
              <w:t>Donation points are expected to be operated by charities, and not-for-profit and community organisations, which may take containers to a refund point to receive refunds.</w:t>
            </w:r>
          </w:p>
        </w:tc>
      </w:tr>
      <w:tr w:rsidR="00022915" w:rsidRPr="002A6CD8" w14:paraId="0D6948DE" w14:textId="77777777" w:rsidTr="00C53AB1">
        <w:tc>
          <w:tcPr>
            <w:tcW w:w="2041" w:type="dxa"/>
          </w:tcPr>
          <w:p w14:paraId="4512B654" w14:textId="77777777" w:rsidR="00022915" w:rsidRPr="002A6CD8" w:rsidRDefault="00022915" w:rsidP="00C53AB1">
            <w:pPr>
              <w:rPr>
                <w:rFonts w:cs="Arial"/>
              </w:rPr>
            </w:pPr>
            <w:r w:rsidRPr="002A6CD8">
              <w:rPr>
                <w:rFonts w:cs="Arial"/>
              </w:rPr>
              <w:t>Eligible container</w:t>
            </w:r>
          </w:p>
        </w:tc>
        <w:tc>
          <w:tcPr>
            <w:tcW w:w="7796" w:type="dxa"/>
          </w:tcPr>
          <w:p w14:paraId="79E97CE5" w14:textId="77777777" w:rsidR="00022915" w:rsidRPr="002A6CD8" w:rsidRDefault="00022915" w:rsidP="00C53AB1">
            <w:r w:rsidRPr="002A6CD8">
              <w:t>A beverage container that meets the requirements to receive a ten cent refund.</w:t>
            </w:r>
          </w:p>
        </w:tc>
      </w:tr>
      <w:tr w:rsidR="00022915" w:rsidRPr="002A6CD8" w14:paraId="070A88E9" w14:textId="77777777" w:rsidTr="00C53AB1">
        <w:tc>
          <w:tcPr>
            <w:tcW w:w="2041" w:type="dxa"/>
          </w:tcPr>
          <w:p w14:paraId="1B1D20E0" w14:textId="77777777" w:rsidR="00022915" w:rsidRPr="002A6CD8" w:rsidRDefault="00022915" w:rsidP="00C53AB1">
            <w:pPr>
              <w:rPr>
                <w:rFonts w:cs="Arial"/>
              </w:rPr>
            </w:pPr>
            <w:r w:rsidRPr="002A6CD8">
              <w:rPr>
                <w:rFonts w:cs="Arial"/>
              </w:rPr>
              <w:t>Handling fees</w:t>
            </w:r>
          </w:p>
        </w:tc>
        <w:tc>
          <w:tcPr>
            <w:tcW w:w="7796" w:type="dxa"/>
          </w:tcPr>
          <w:p w14:paraId="4782FC01" w14:textId="77777777" w:rsidR="00022915" w:rsidRPr="002A6CD8" w:rsidRDefault="00022915" w:rsidP="00C53AB1">
            <w:r w:rsidRPr="002A6CD8">
              <w:t>Fees to support the collection, processing and transport of eligible containers from refund points to recycling facilities.</w:t>
            </w:r>
          </w:p>
        </w:tc>
      </w:tr>
      <w:tr w:rsidR="00022915" w:rsidRPr="002A6CD8" w14:paraId="24A8CFB2" w14:textId="77777777" w:rsidTr="00C53AB1">
        <w:tc>
          <w:tcPr>
            <w:tcW w:w="2041" w:type="dxa"/>
          </w:tcPr>
          <w:p w14:paraId="3A32FE41" w14:textId="77777777" w:rsidR="00022915" w:rsidRPr="002A6CD8" w:rsidRDefault="00022915" w:rsidP="00C53AB1">
            <w:pPr>
              <w:rPr>
                <w:rFonts w:cs="Arial"/>
              </w:rPr>
            </w:pPr>
            <w:r w:rsidRPr="002A6CD8">
              <w:rPr>
                <w:rFonts w:cs="Arial"/>
              </w:rPr>
              <w:t>Material recovery facility</w:t>
            </w:r>
          </w:p>
        </w:tc>
        <w:tc>
          <w:tcPr>
            <w:tcW w:w="7796" w:type="dxa"/>
          </w:tcPr>
          <w:p w14:paraId="5150D283" w14:textId="77777777" w:rsidR="00022915" w:rsidRPr="002A6CD8" w:rsidRDefault="00022915" w:rsidP="00C53AB1">
            <w:r w:rsidRPr="002A6CD8">
              <w:t>A facility at which recyclable materials are sorted, processed</w:t>
            </w:r>
            <w:r>
              <w:t>,</w:t>
            </w:r>
            <w:r w:rsidRPr="002A6CD8">
              <w:t xml:space="preserve"> and packaged for sale to recyclers.</w:t>
            </w:r>
          </w:p>
        </w:tc>
      </w:tr>
      <w:tr w:rsidR="00022915" w:rsidRPr="002A6CD8" w14:paraId="0D37F2AE" w14:textId="77777777" w:rsidTr="00C53AB1">
        <w:tc>
          <w:tcPr>
            <w:tcW w:w="2041" w:type="dxa"/>
          </w:tcPr>
          <w:p w14:paraId="7B34ACE9" w14:textId="77777777" w:rsidR="00022915" w:rsidRPr="002A6CD8" w:rsidRDefault="00022915" w:rsidP="00C53AB1">
            <w:pPr>
              <w:rPr>
                <w:rFonts w:cs="Arial"/>
              </w:rPr>
            </w:pPr>
            <w:r w:rsidRPr="002A6CD8">
              <w:rPr>
                <w:rFonts w:cs="Arial"/>
              </w:rPr>
              <w:t>Refund amount</w:t>
            </w:r>
          </w:p>
        </w:tc>
        <w:tc>
          <w:tcPr>
            <w:tcW w:w="7796" w:type="dxa"/>
          </w:tcPr>
          <w:p w14:paraId="2EDA7143" w14:textId="77777777" w:rsidR="00022915" w:rsidRPr="002A6CD8" w:rsidRDefault="00022915" w:rsidP="00C53AB1">
            <w:r w:rsidRPr="002A6CD8">
              <w:t>The monetary value of a refund, currently ten cents, paid to return an</w:t>
            </w:r>
            <w:r>
              <w:t> </w:t>
            </w:r>
            <w:r w:rsidRPr="002A6CD8">
              <w:t>eligible container to a refund point.</w:t>
            </w:r>
          </w:p>
        </w:tc>
      </w:tr>
      <w:tr w:rsidR="00022915" w:rsidRPr="002A6CD8" w14:paraId="7F91258D" w14:textId="77777777" w:rsidTr="00C53AB1">
        <w:tc>
          <w:tcPr>
            <w:tcW w:w="2041" w:type="dxa"/>
          </w:tcPr>
          <w:p w14:paraId="3665C0CC" w14:textId="77777777" w:rsidR="00022915" w:rsidRPr="002A6CD8" w:rsidRDefault="00022915" w:rsidP="00C53AB1">
            <w:pPr>
              <w:rPr>
                <w:rFonts w:cs="Arial"/>
              </w:rPr>
            </w:pPr>
            <w:r w:rsidRPr="002A6CD8">
              <w:rPr>
                <w:rFonts w:cs="Arial"/>
              </w:rPr>
              <w:t>Refund mark</w:t>
            </w:r>
          </w:p>
        </w:tc>
        <w:tc>
          <w:tcPr>
            <w:tcW w:w="7796" w:type="dxa"/>
          </w:tcPr>
          <w:p w14:paraId="78A225CD" w14:textId="77777777" w:rsidR="00022915" w:rsidRPr="002A6CD8" w:rsidRDefault="00022915" w:rsidP="00C53AB1">
            <w:r w:rsidRPr="002A6CD8">
              <w:t>The identifying mark indicating that a container is eligible for a ten cent refund.</w:t>
            </w:r>
          </w:p>
        </w:tc>
      </w:tr>
      <w:tr w:rsidR="00022915" w:rsidRPr="002A6CD8" w14:paraId="7CC6D8C5" w14:textId="77777777" w:rsidTr="00C53AB1">
        <w:tc>
          <w:tcPr>
            <w:tcW w:w="2041" w:type="dxa"/>
          </w:tcPr>
          <w:p w14:paraId="7E5A8AA1" w14:textId="77777777" w:rsidR="00022915" w:rsidRPr="002A6CD8" w:rsidRDefault="00022915" w:rsidP="00C53AB1">
            <w:pPr>
              <w:rPr>
                <w:rFonts w:cs="Arial"/>
              </w:rPr>
            </w:pPr>
            <w:r w:rsidRPr="002A6CD8">
              <w:rPr>
                <w:rFonts w:cs="Arial"/>
              </w:rPr>
              <w:t>Refund point</w:t>
            </w:r>
          </w:p>
        </w:tc>
        <w:tc>
          <w:tcPr>
            <w:tcW w:w="7796" w:type="dxa"/>
          </w:tcPr>
          <w:p w14:paraId="72853ECB" w14:textId="77777777" w:rsidR="00022915" w:rsidRPr="002A6CD8" w:rsidRDefault="00022915" w:rsidP="00C53AB1">
            <w:r w:rsidRPr="002A6CD8">
              <w:t>A location at which empty drink containers can be returned in exchange for a ten cent refund. A refund point may be a permanent or mobile facility. Automated refund points are referred to as reverse vending machines.</w:t>
            </w:r>
          </w:p>
        </w:tc>
      </w:tr>
      <w:tr w:rsidR="00022915" w:rsidRPr="002A6CD8" w14:paraId="1C7ED30E" w14:textId="77777777" w:rsidTr="00C53AB1">
        <w:tc>
          <w:tcPr>
            <w:tcW w:w="2041" w:type="dxa"/>
          </w:tcPr>
          <w:p w14:paraId="7376F47A" w14:textId="77777777" w:rsidR="00022915" w:rsidRPr="002A6CD8" w:rsidRDefault="00022915" w:rsidP="00C53AB1">
            <w:pPr>
              <w:rPr>
                <w:rFonts w:cs="Arial"/>
              </w:rPr>
            </w:pPr>
            <w:r w:rsidRPr="002A6CD8">
              <w:rPr>
                <w:rFonts w:cs="Arial"/>
              </w:rPr>
              <w:t>Refund point operator</w:t>
            </w:r>
          </w:p>
        </w:tc>
        <w:tc>
          <w:tcPr>
            <w:tcW w:w="7796" w:type="dxa"/>
          </w:tcPr>
          <w:p w14:paraId="358DD05A" w14:textId="77777777" w:rsidR="00022915" w:rsidRPr="002A6CD8" w:rsidRDefault="00022915" w:rsidP="00C53AB1">
            <w:r w:rsidRPr="002A6CD8">
              <w:t>An approved operator of a refund point.</w:t>
            </w:r>
          </w:p>
        </w:tc>
      </w:tr>
      <w:tr w:rsidR="00022915" w:rsidRPr="002A6CD8" w14:paraId="1E2C4F8F" w14:textId="77777777" w:rsidTr="00C53AB1">
        <w:tc>
          <w:tcPr>
            <w:tcW w:w="2041" w:type="dxa"/>
          </w:tcPr>
          <w:p w14:paraId="48738911" w14:textId="77777777" w:rsidR="00022915" w:rsidRPr="002A6CD8" w:rsidRDefault="00022915" w:rsidP="00C53AB1">
            <w:pPr>
              <w:rPr>
                <w:rFonts w:cs="Arial"/>
              </w:rPr>
            </w:pPr>
            <w:r w:rsidRPr="002A6CD8">
              <w:rPr>
                <w:rFonts w:cs="Arial"/>
              </w:rPr>
              <w:t>Return rate</w:t>
            </w:r>
          </w:p>
        </w:tc>
        <w:tc>
          <w:tcPr>
            <w:tcW w:w="7796" w:type="dxa"/>
          </w:tcPr>
          <w:p w14:paraId="135E27DF" w14:textId="77777777" w:rsidR="00022915" w:rsidRPr="002A6CD8" w:rsidRDefault="00022915" w:rsidP="00C53AB1">
            <w:r w:rsidRPr="002A6CD8">
              <w:t>The number of eligible containers returned under the container deposit scheme divided by the total number sold.</w:t>
            </w:r>
          </w:p>
        </w:tc>
      </w:tr>
      <w:tr w:rsidR="00022915" w:rsidRPr="002A6CD8" w14:paraId="7FA0B376" w14:textId="77777777" w:rsidTr="00C53AB1">
        <w:tc>
          <w:tcPr>
            <w:tcW w:w="2041" w:type="dxa"/>
          </w:tcPr>
          <w:p w14:paraId="24F4E79C" w14:textId="77777777" w:rsidR="00022915" w:rsidRPr="002A6CD8" w:rsidRDefault="00022915" w:rsidP="00C53AB1">
            <w:pPr>
              <w:rPr>
                <w:rFonts w:cs="Arial"/>
              </w:rPr>
            </w:pPr>
            <w:r w:rsidRPr="002A6CD8">
              <w:rPr>
                <w:rFonts w:cs="Arial"/>
              </w:rPr>
              <w:t>Reverse vending machine</w:t>
            </w:r>
          </w:p>
        </w:tc>
        <w:tc>
          <w:tcPr>
            <w:tcW w:w="7796" w:type="dxa"/>
          </w:tcPr>
          <w:p w14:paraId="62660A29" w14:textId="77777777" w:rsidR="00022915" w:rsidRPr="002A6CD8" w:rsidRDefault="00022915" w:rsidP="00C53AB1">
            <w:r w:rsidRPr="002A6CD8">
              <w:t>A device that accepts empty beverage containers and provides a refund (</w:t>
            </w:r>
            <w:r w:rsidRPr="004A57C9">
              <w:t>typically in the form of a voucher exchangeable for cash). A reverse vending machine may be a single container/material feed machine or accept bulk feed/material</w:t>
            </w:r>
            <w:r w:rsidRPr="008D22B5">
              <w:t xml:space="preserve"> types.</w:t>
            </w:r>
          </w:p>
        </w:tc>
      </w:tr>
      <w:tr w:rsidR="00022915" w:rsidRPr="002A6CD8" w14:paraId="555D91F6" w14:textId="77777777" w:rsidTr="00C53AB1">
        <w:tc>
          <w:tcPr>
            <w:tcW w:w="2041" w:type="dxa"/>
          </w:tcPr>
          <w:p w14:paraId="5311BDA3" w14:textId="77777777" w:rsidR="00022915" w:rsidRPr="002A6CD8" w:rsidRDefault="00022915" w:rsidP="00C53AB1">
            <w:pPr>
              <w:rPr>
                <w:rFonts w:cs="Arial"/>
              </w:rPr>
            </w:pPr>
            <w:r w:rsidRPr="002A6CD8">
              <w:rPr>
                <w:rFonts w:cs="Arial"/>
              </w:rPr>
              <w:t>Scheme administrator</w:t>
            </w:r>
          </w:p>
        </w:tc>
        <w:tc>
          <w:tcPr>
            <w:tcW w:w="7796" w:type="dxa"/>
          </w:tcPr>
          <w:p w14:paraId="6AA4F526" w14:textId="77777777" w:rsidR="00022915" w:rsidRPr="002A6CD8" w:rsidRDefault="00022915" w:rsidP="00C53AB1">
            <w:r w:rsidRPr="002A6CD8">
              <w:t>The role that provides regulatory oversight and evaluation of the CDS. In most jurisdictions, this is the environmental agency responsible for administering the CDS legislation.</w:t>
            </w:r>
          </w:p>
        </w:tc>
      </w:tr>
      <w:tr w:rsidR="00022915" w:rsidRPr="002A6CD8" w14:paraId="290B2139" w14:textId="77777777" w:rsidTr="00C53AB1">
        <w:tc>
          <w:tcPr>
            <w:tcW w:w="2041" w:type="dxa"/>
          </w:tcPr>
          <w:p w14:paraId="01B57E6F" w14:textId="77777777" w:rsidR="00022915" w:rsidRPr="002A6CD8" w:rsidRDefault="00022915" w:rsidP="00C53AB1">
            <w:pPr>
              <w:rPr>
                <w:rFonts w:cs="Arial"/>
                <w:highlight w:val="yellow"/>
              </w:rPr>
            </w:pPr>
            <w:r w:rsidRPr="002A6CD8">
              <w:rPr>
                <w:rFonts w:cs="Arial"/>
              </w:rPr>
              <w:t>Scheme coordinator</w:t>
            </w:r>
          </w:p>
        </w:tc>
        <w:tc>
          <w:tcPr>
            <w:tcW w:w="7796" w:type="dxa"/>
          </w:tcPr>
          <w:p w14:paraId="2AC029AA" w14:textId="77777777" w:rsidR="00022915" w:rsidRPr="002A6CD8" w:rsidRDefault="00022915" w:rsidP="00C53AB1">
            <w:pPr>
              <w:rPr>
                <w:highlight w:val="yellow"/>
              </w:rPr>
            </w:pPr>
            <w:r w:rsidRPr="002A6CD8">
              <w:t>The role that is responsible for the operation of the CDS, including financial and performance management</w:t>
            </w:r>
            <w:r>
              <w:t>,</w:t>
            </w:r>
            <w:r w:rsidRPr="002A6CD8">
              <w:t xml:space="preserve"> and fraud minimisation.</w:t>
            </w:r>
          </w:p>
        </w:tc>
      </w:tr>
    </w:tbl>
    <w:p w14:paraId="2B06569C" w14:textId="77777777" w:rsidR="00022915" w:rsidRDefault="00022915" w:rsidP="00022915">
      <w:pPr>
        <w:pStyle w:val="Heading1nonumbering"/>
      </w:pPr>
      <w:bookmarkStart w:id="221" w:name="_Toc142884604"/>
      <w:bookmarkStart w:id="222" w:name="_Toc142884819"/>
      <w:bookmarkStart w:id="223" w:name="_Toc142886920"/>
      <w:bookmarkStart w:id="224" w:name="_Toc222718710"/>
      <w:bookmarkStart w:id="225" w:name="_Toc9375388"/>
      <w:bookmarkEnd w:id="220"/>
      <w:r>
        <w:t>References</w:t>
      </w:r>
      <w:bookmarkEnd w:id="221"/>
      <w:bookmarkEnd w:id="222"/>
      <w:bookmarkEnd w:id="223"/>
      <w:bookmarkEnd w:id="224"/>
      <w:bookmarkEnd w:id="225"/>
    </w:p>
    <w:p w14:paraId="2D355C6A" w14:textId="77777777" w:rsidR="00022915" w:rsidRDefault="00022915" w:rsidP="00022915">
      <w:r>
        <w:t xml:space="preserve">Australian Bureau of Statistics (ABS) (2017) </w:t>
      </w:r>
      <w:r w:rsidRPr="006569D8">
        <w:rPr>
          <w:i/>
        </w:rPr>
        <w:t>Count of Australian businesses</w:t>
      </w:r>
      <w:r>
        <w:t>, cat. no. 8165, ABS, Canberra.</w:t>
      </w:r>
    </w:p>
    <w:p w14:paraId="73271BC2" w14:textId="77777777" w:rsidR="00022915" w:rsidRDefault="00022915" w:rsidP="00022915">
      <w:r>
        <w:t xml:space="preserve">APH Senate, Environment and Communications References Committee, </w:t>
      </w:r>
      <w:r w:rsidRPr="006E63F5">
        <w:rPr>
          <w:i/>
        </w:rPr>
        <w:t>Toxic tide: the threat of marine plastic pollution in Australia</w:t>
      </w:r>
      <w:r>
        <w:t>, April 2016</w:t>
      </w:r>
    </w:p>
    <w:p w14:paraId="3E60C5BB" w14:textId="77777777" w:rsidR="00022915" w:rsidRDefault="00022915" w:rsidP="00022915">
      <w:pPr>
        <w:rPr>
          <w:rStyle w:val="Hyperlink"/>
        </w:rPr>
      </w:pPr>
      <w:r w:rsidRPr="004B5BB7">
        <w:t>Australian Food &amp; Grocery Council</w:t>
      </w:r>
      <w:r>
        <w:t xml:space="preserve"> (AFGC)</w:t>
      </w:r>
      <w:r w:rsidRPr="004B5BB7">
        <w:t xml:space="preserve"> (</w:t>
      </w:r>
      <w:r>
        <w:t>2016</w:t>
      </w:r>
      <w:r w:rsidRPr="004B5BB7">
        <w:t>)</w:t>
      </w:r>
      <w:r>
        <w:t>. ‘Industry tackles NSW litter reduction challenge with Thirst for Good’, media release, AFGC, Canberra,</w:t>
      </w:r>
      <w:r w:rsidRPr="004B5BB7">
        <w:t xml:space="preserve"> </w:t>
      </w:r>
      <w:hyperlink r:id="rId26" w:history="1">
        <w:r>
          <w:rPr>
            <w:rStyle w:val="Hyperlink"/>
          </w:rPr>
          <w:t>online</w:t>
        </w:r>
      </w:hyperlink>
    </w:p>
    <w:p w14:paraId="218E7246" w14:textId="77777777" w:rsidR="00022915" w:rsidRDefault="00022915" w:rsidP="00022915">
      <w:r>
        <w:t xml:space="preserve">Australian Treasury (2011). </w:t>
      </w:r>
      <w:r w:rsidRPr="00C22629">
        <w:rPr>
          <w:i/>
        </w:rPr>
        <w:t>Strong growth, low pollution: modelling a carbon price</w:t>
      </w:r>
      <w:r w:rsidRPr="00C22629">
        <w:t>, Australian Government, Canberra</w:t>
      </w:r>
      <w:r>
        <w:t xml:space="preserve">. </w:t>
      </w:r>
    </w:p>
    <w:p w14:paraId="70C2AB03" w14:textId="77777777" w:rsidR="00022915" w:rsidRDefault="00022915" w:rsidP="00022915">
      <w:r>
        <w:t xml:space="preserve">Baker R, Ruting B (2014). </w:t>
      </w:r>
      <w:r w:rsidRPr="006569D8">
        <w:rPr>
          <w:i/>
        </w:rPr>
        <w:t>Environmental policy analysis: a guide to non-market valuation</w:t>
      </w:r>
      <w:r w:rsidRPr="006569D8">
        <w:t>, staff working paper, Productivity Commission, Canberra</w:t>
      </w:r>
      <w:r>
        <w:t>.</w:t>
      </w:r>
    </w:p>
    <w:p w14:paraId="77278C25" w14:textId="77777777" w:rsidR="00022915" w:rsidRDefault="00022915" w:rsidP="00022915">
      <w:r>
        <w:t xml:space="preserve">Centre for International Economics report for the Independent Pricing and Regulatory Tribunal of New South Wales, NSW Container Deposit Scheme - Impacts on beverage expenditure and consumption (Preliminary Report), 20 April 2018 </w:t>
      </w:r>
      <w:hyperlink r:id="rId27" w:history="1">
        <w:r w:rsidRPr="00571E38">
          <w:rPr>
            <w:rStyle w:val="Hyperlink"/>
          </w:rPr>
          <w:t>online</w:t>
        </w:r>
      </w:hyperlink>
      <w:r>
        <w:t xml:space="preserve"> </w:t>
      </w:r>
    </w:p>
    <w:p w14:paraId="43386399" w14:textId="77777777" w:rsidR="00022915" w:rsidRDefault="00022915" w:rsidP="00022915">
      <w:r>
        <w:t xml:space="preserve">Commonwealth Grants Commission (CGC) (2017) </w:t>
      </w:r>
      <w:r w:rsidRPr="00C1233C">
        <w:rPr>
          <w:i/>
        </w:rPr>
        <w:t>Report on GST revenue sharing relativities: 2017 update</w:t>
      </w:r>
      <w:r>
        <w:t xml:space="preserve">, Australian Government, Canberra, </w:t>
      </w:r>
      <w:hyperlink r:id="rId28" w:history="1">
        <w:r w:rsidRPr="00C1233C">
          <w:rPr>
            <w:rStyle w:val="Hyperlink"/>
          </w:rPr>
          <w:t>online</w:t>
        </w:r>
      </w:hyperlink>
      <w:r>
        <w:t>.</w:t>
      </w:r>
    </w:p>
    <w:p w14:paraId="6551BDAB" w14:textId="2E3BAED4" w:rsidR="00022915" w:rsidRDefault="00022915" w:rsidP="00022915">
      <w:r>
        <w:t xml:space="preserve">Dale T (2014) </w:t>
      </w:r>
      <w:r w:rsidRPr="00302AD0">
        <w:rPr>
          <w:i/>
        </w:rPr>
        <w:t>Distributing GST revenue to the states: where is the revenue raised and what is a ‘relativity’?</w:t>
      </w:r>
      <w:r w:rsidRPr="00302AD0">
        <w:t xml:space="preserve">, Parliament of Australia, 2014, </w:t>
      </w:r>
      <w:hyperlink r:id="rId29" w:history="1">
        <w:r w:rsidRPr="00302AD0">
          <w:rPr>
            <w:rStyle w:val="Hyperlink"/>
          </w:rPr>
          <w:t>online</w:t>
        </w:r>
      </w:hyperlink>
      <w:r>
        <w:t>.</w:t>
      </w:r>
    </w:p>
    <w:p w14:paraId="0BE64834" w14:textId="77777777" w:rsidR="00022915" w:rsidRDefault="00022915" w:rsidP="00022915">
      <w:r>
        <w:t xml:space="preserve">Department for Environment, Food and Rural Affairs (United Kingdom) (DEFRA) (2013). </w:t>
      </w:r>
      <w:r w:rsidRPr="00A404BA">
        <w:t xml:space="preserve">Local environmental quality: scale of local environmental quality: illustrations and descriptions, </w:t>
      </w:r>
      <w:r>
        <w:t xml:space="preserve">United Kingdom Government, </w:t>
      </w:r>
      <w:r w:rsidRPr="00A404BA">
        <w:t>August</w:t>
      </w:r>
      <w:r>
        <w:t xml:space="preserve">, </w:t>
      </w:r>
      <w:hyperlink r:id="rId30" w:history="1">
        <w:r w:rsidRPr="00A404BA">
          <w:rPr>
            <w:rStyle w:val="Hyperlink"/>
          </w:rPr>
          <w:t>online</w:t>
        </w:r>
      </w:hyperlink>
      <w:r>
        <w:t xml:space="preserve"> </w:t>
      </w:r>
      <w:r w:rsidRPr="00013DCD">
        <w:t xml:space="preserve">(accessed </w:t>
      </w:r>
      <w:r>
        <w:t>March</w:t>
      </w:r>
      <w:r w:rsidRPr="00013DCD">
        <w:t xml:space="preserve"> 2018)</w:t>
      </w:r>
      <w:r>
        <w:t>.</w:t>
      </w:r>
    </w:p>
    <w:p w14:paraId="1C6CA8C4" w14:textId="77777777" w:rsidR="00022915" w:rsidRDefault="00022915" w:rsidP="00022915">
      <w:r>
        <w:t xml:space="preserve">Department of Treasury and Finance (DTF) (2010) Regulatory Impact Assessment Guidelines for Western Australia, Perth, July, </w:t>
      </w:r>
      <w:hyperlink r:id="rId31" w:history="1">
        <w:r w:rsidRPr="00084C84">
          <w:rPr>
            <w:rStyle w:val="Hyperlink"/>
          </w:rPr>
          <w:t>online</w:t>
        </w:r>
      </w:hyperlink>
      <w:r w:rsidRPr="00084C84">
        <w:t xml:space="preserve"> </w:t>
      </w:r>
      <w:r w:rsidRPr="00013DCD">
        <w:t xml:space="preserve">(accessed </w:t>
      </w:r>
      <w:r>
        <w:t>March</w:t>
      </w:r>
      <w:r w:rsidRPr="00013DCD">
        <w:t xml:space="preserve"> 2018).</w:t>
      </w:r>
    </w:p>
    <w:p w14:paraId="0F9331AF" w14:textId="77777777" w:rsidR="00022915" w:rsidRDefault="00022915" w:rsidP="00022915">
      <w:r w:rsidRPr="007F76DA">
        <w:t xml:space="preserve">Department of Water and Environmental Regulation </w:t>
      </w:r>
      <w:r>
        <w:t xml:space="preserve">(DWER) </w:t>
      </w:r>
      <w:r w:rsidRPr="007F76DA">
        <w:t xml:space="preserve">(2017) </w:t>
      </w:r>
      <w:r>
        <w:rPr>
          <w:i/>
        </w:rPr>
        <w:t>Western Australia</w:t>
      </w:r>
      <w:r w:rsidRPr="007F76DA">
        <w:rPr>
          <w:i/>
        </w:rPr>
        <w:t xml:space="preserve"> – Container Deposit Scheme.  Discussion Paper</w:t>
      </w:r>
      <w:r w:rsidRPr="007F76DA">
        <w:t xml:space="preserve">. Government of </w:t>
      </w:r>
      <w:r>
        <w:t>Western Australia</w:t>
      </w:r>
      <w:r w:rsidRPr="007F76DA">
        <w:t>, Perth.</w:t>
      </w:r>
      <w:r w:rsidRPr="000C31B8">
        <w:t xml:space="preserve"> </w:t>
      </w:r>
    </w:p>
    <w:p w14:paraId="1CE5CF2F" w14:textId="77777777" w:rsidR="00022915" w:rsidRPr="00137AEF" w:rsidRDefault="00022915" w:rsidP="00022915">
      <w:r>
        <w:t>DWER (Department of Water and Environmental Regulation) (2017a). Western Australia</w:t>
      </w:r>
      <w:r w:rsidRPr="00137AEF">
        <w:t>: Container Deposit Scheme—Discussion Paper</w:t>
      </w:r>
      <w:r>
        <w:t xml:space="preserve">, Western Australian Government, Perth, </w:t>
      </w:r>
      <w:hyperlink r:id="rId32" w:history="1">
        <w:r w:rsidRPr="00084C84">
          <w:rPr>
            <w:rStyle w:val="Hyperlink"/>
          </w:rPr>
          <w:t>online</w:t>
        </w:r>
      </w:hyperlink>
      <w:r w:rsidRPr="00084C84">
        <w:t xml:space="preserve"> </w:t>
      </w:r>
      <w:r w:rsidRPr="00013DCD">
        <w:t xml:space="preserve">(accessed </w:t>
      </w:r>
      <w:r>
        <w:t>May</w:t>
      </w:r>
      <w:r w:rsidRPr="00013DCD">
        <w:t xml:space="preserve"> 201</w:t>
      </w:r>
      <w:r>
        <w:t>9</w:t>
      </w:r>
      <w:r w:rsidRPr="00013DCD">
        <w:t>).</w:t>
      </w:r>
    </w:p>
    <w:p w14:paraId="3749F1ED" w14:textId="77777777" w:rsidR="00022915" w:rsidRDefault="00022915" w:rsidP="00022915">
      <w:r>
        <w:t xml:space="preserve">DWER (Department of Water and Environmental Regulation) (2017b). </w:t>
      </w:r>
      <w:r>
        <w:rPr>
          <w:i/>
        </w:rPr>
        <w:t>Western Australian Container Deposit Scheme</w:t>
      </w:r>
      <w:r>
        <w:t xml:space="preserve">, Western Australian Government, Perth, </w:t>
      </w:r>
      <w:hyperlink r:id="rId33" w:history="1">
        <w:r>
          <w:rPr>
            <w:rStyle w:val="Hyperlink"/>
          </w:rPr>
          <w:t>online</w:t>
        </w:r>
      </w:hyperlink>
      <w:r>
        <w:t>.</w:t>
      </w:r>
    </w:p>
    <w:p w14:paraId="2AD2DF40" w14:textId="77777777" w:rsidR="00022915" w:rsidRDefault="00022915" w:rsidP="00022915">
      <w:r>
        <w:t xml:space="preserve">DWER (Department of Water and Environmental Regulation) (no date). </w:t>
      </w:r>
      <w:r>
        <w:rPr>
          <w:i/>
        </w:rPr>
        <w:t>Summary of container deposit scheme consultation survey</w:t>
      </w:r>
      <w:r>
        <w:t xml:space="preserve">, Western Australian Government, Perth, </w:t>
      </w:r>
      <w:hyperlink r:id="rId34" w:history="1">
        <w:r>
          <w:rPr>
            <w:rStyle w:val="Hyperlink"/>
          </w:rPr>
          <w:t>online</w:t>
        </w:r>
      </w:hyperlink>
      <w:r>
        <w:t>.</w:t>
      </w:r>
    </w:p>
    <w:p w14:paraId="76CB5F08" w14:textId="77777777" w:rsidR="00022915" w:rsidRPr="007F76DA" w:rsidRDefault="00022915" w:rsidP="00022915">
      <w:pPr>
        <w:rPr>
          <w:lang w:eastAsia="en-AU"/>
        </w:rPr>
      </w:pPr>
      <w:r w:rsidRPr="007F76DA">
        <w:rPr>
          <w:lang w:eastAsia="en-AU"/>
        </w:rPr>
        <w:t xml:space="preserve">Keep Australia Beautiful </w:t>
      </w:r>
      <w:r>
        <w:rPr>
          <w:lang w:eastAsia="en-AU"/>
        </w:rPr>
        <w:t xml:space="preserve">(KAB) </w:t>
      </w:r>
      <w:r w:rsidRPr="007F76DA">
        <w:rPr>
          <w:lang w:eastAsia="en-AU"/>
        </w:rPr>
        <w:t xml:space="preserve">(2016) </w:t>
      </w:r>
      <w:r w:rsidRPr="007F76DA">
        <w:rPr>
          <w:i/>
          <w:lang w:eastAsia="en-AU"/>
        </w:rPr>
        <w:t>National Litter Index 2015-2016: states &amp; territories survey specifics</w:t>
      </w:r>
      <w:r w:rsidRPr="007F76DA">
        <w:rPr>
          <w:lang w:eastAsia="en-AU"/>
        </w:rPr>
        <w:t>.  Keep Australia Beautiful National Association, Newton.</w:t>
      </w:r>
    </w:p>
    <w:p w14:paraId="7309AC5D" w14:textId="77777777" w:rsidR="00022915" w:rsidRDefault="00022915" w:rsidP="00022915">
      <w:pPr>
        <w:rPr>
          <w:lang w:eastAsia="en-AU"/>
        </w:rPr>
      </w:pPr>
      <w:r w:rsidRPr="007F76DA">
        <w:rPr>
          <w:lang w:eastAsia="en-AU"/>
        </w:rPr>
        <w:t xml:space="preserve">Keep Australia Beautiful Council </w:t>
      </w:r>
      <w:r>
        <w:rPr>
          <w:lang w:eastAsia="en-AU"/>
        </w:rPr>
        <w:t xml:space="preserve">Western Australian (KABWA) </w:t>
      </w:r>
      <w:r w:rsidRPr="007F76DA">
        <w:rPr>
          <w:lang w:eastAsia="en-AU"/>
        </w:rPr>
        <w:t xml:space="preserve">(undated) </w:t>
      </w:r>
      <w:r w:rsidRPr="007F76DA">
        <w:rPr>
          <w:i/>
          <w:lang w:eastAsia="en-AU"/>
        </w:rPr>
        <w:t xml:space="preserve">A litter prevention strategy for </w:t>
      </w:r>
      <w:r>
        <w:rPr>
          <w:i/>
          <w:lang w:eastAsia="en-AU"/>
        </w:rPr>
        <w:t>Western Australia</w:t>
      </w:r>
      <w:r w:rsidRPr="007F76DA">
        <w:rPr>
          <w:i/>
          <w:lang w:eastAsia="en-AU"/>
        </w:rPr>
        <w:t xml:space="preserve"> 2015-2020.</w:t>
      </w:r>
      <w:r w:rsidRPr="007F76DA">
        <w:rPr>
          <w:lang w:eastAsia="en-AU"/>
        </w:rPr>
        <w:t xml:space="preserve"> Keep Australia Beautiful WA, Perth</w:t>
      </w:r>
      <w:r>
        <w:rPr>
          <w:lang w:eastAsia="en-AU"/>
        </w:rPr>
        <w:t xml:space="preserve">, </w:t>
      </w:r>
      <w:hyperlink r:id="rId35" w:history="1">
        <w:r w:rsidRPr="007265D3">
          <w:rPr>
            <w:rStyle w:val="Hyperlink"/>
            <w:sz w:val="23"/>
            <w:lang w:eastAsia="en-AU"/>
          </w:rPr>
          <w:t>online</w:t>
        </w:r>
      </w:hyperlink>
      <w:r w:rsidRPr="007F76DA">
        <w:rPr>
          <w:lang w:eastAsia="en-AU"/>
        </w:rPr>
        <w:t>.</w:t>
      </w:r>
    </w:p>
    <w:p w14:paraId="552672BB" w14:textId="77777777" w:rsidR="00022915" w:rsidRDefault="00022915" w:rsidP="00022915">
      <w:r w:rsidRPr="00C804E0">
        <w:t>Marsden Jacob Associates</w:t>
      </w:r>
      <w:r>
        <w:t xml:space="preserve"> (MJA)</w:t>
      </w:r>
      <w:r w:rsidRPr="00C804E0">
        <w:t xml:space="preserve"> (2013</w:t>
      </w:r>
      <w:r w:rsidRPr="00E32839">
        <w:rPr>
          <w:i/>
        </w:rPr>
        <w:t>) Cost benefit analysis for the Packaging Impacts Decision Regulation Impact Statement: data assumptions</w:t>
      </w:r>
      <w:r w:rsidRPr="00C1233C">
        <w:t xml:space="preserve">, Attachment K to the Packaging Impacts Decision Regulation Impact Statement, </w:t>
      </w:r>
      <w:r>
        <w:t>Marsden Jacob Associates</w:t>
      </w:r>
      <w:r w:rsidRPr="00C1233C">
        <w:t xml:space="preserve">, Melbourne, </w:t>
      </w:r>
      <w:hyperlink r:id="rId36" w:history="1">
        <w:r>
          <w:rPr>
            <w:rStyle w:val="Hyperlink"/>
          </w:rPr>
          <w:t>online</w:t>
        </w:r>
      </w:hyperlink>
      <w:r w:rsidRPr="00C804E0">
        <w:t>.</w:t>
      </w:r>
    </w:p>
    <w:p w14:paraId="3F0C4F05" w14:textId="77777777" w:rsidR="00022915" w:rsidRDefault="00022915" w:rsidP="00022915">
      <w:r>
        <w:t xml:space="preserve">Marsden Jacob Associates (2016) </w:t>
      </w:r>
      <w:r w:rsidRPr="00E32839">
        <w:rPr>
          <w:i/>
        </w:rPr>
        <w:t>NSW Container Deposit Scheme: Assumptions Report Attachment 1</w:t>
      </w:r>
      <w:r>
        <w:t xml:space="preserve">, report for the New South Wales Environmental Protection Authority, Marsden Jacob Associates, Melbourne, April </w:t>
      </w:r>
    </w:p>
    <w:p w14:paraId="5640398C" w14:textId="77777777" w:rsidR="00022915" w:rsidRDefault="00022915" w:rsidP="00022915">
      <w:r>
        <w:t xml:space="preserve">Macquarie Wealth Management, Coca-Cola Amatil - CDS: internalising the externality, 21 September 2016, </w:t>
      </w:r>
      <w:hyperlink r:id="rId37" w:history="1">
        <w:r w:rsidRPr="00571E38">
          <w:rPr>
            <w:rStyle w:val="Hyperlink"/>
          </w:rPr>
          <w:t>online</w:t>
        </w:r>
      </w:hyperlink>
      <w:r>
        <w:t xml:space="preserve">.  </w:t>
      </w:r>
    </w:p>
    <w:p w14:paraId="78EC9BAE" w14:textId="77777777" w:rsidR="00022915" w:rsidRDefault="00022915" w:rsidP="00022915">
      <w:r>
        <w:t xml:space="preserve">Miles, Steven (2016). ‘Container deposit scheme for Queensland’, media release, 22 July, </w:t>
      </w:r>
      <w:hyperlink r:id="rId38" w:history="1">
        <w:r w:rsidRPr="00DC1DFE">
          <w:rPr>
            <w:rStyle w:val="Hyperlink"/>
          </w:rPr>
          <w:t>online</w:t>
        </w:r>
      </w:hyperlink>
      <w:r>
        <w:t>.</w:t>
      </w:r>
    </w:p>
    <w:p w14:paraId="281D4AAA" w14:textId="77777777" w:rsidR="00022915" w:rsidRDefault="00022915" w:rsidP="00022915">
      <w:r>
        <w:t xml:space="preserve">National Environment Protection Council (NEPC) (2014, </w:t>
      </w:r>
      <w:r w:rsidRPr="0031077D">
        <w:rPr>
          <w:i/>
        </w:rPr>
        <w:t>Packaging Impacts Decision Regulation Impact Statement</w:t>
      </w:r>
      <w:r>
        <w:t xml:space="preserve">, March, </w:t>
      </w:r>
      <w:hyperlink r:id="rId39" w:history="1">
        <w:r w:rsidRPr="00D1749B">
          <w:rPr>
            <w:rStyle w:val="Hyperlink"/>
          </w:rPr>
          <w:t>online</w:t>
        </w:r>
      </w:hyperlink>
      <w:r>
        <w:t xml:space="preserve"> </w:t>
      </w:r>
    </w:p>
    <w:p w14:paraId="06C61754" w14:textId="77777777" w:rsidR="00022915" w:rsidRDefault="00022915" w:rsidP="00022915">
      <w:r>
        <w:t xml:space="preserve">National Environment Protection Council (NEPC) (undated) </w:t>
      </w:r>
      <w:r w:rsidRPr="004538F9">
        <w:rPr>
          <w:i/>
        </w:rPr>
        <w:t>Packaging Impacts</w:t>
      </w:r>
      <w:r>
        <w:t xml:space="preserve">, </w:t>
      </w:r>
      <w:hyperlink r:id="rId40" w:history="1">
        <w:r w:rsidRPr="006D0FE2">
          <w:rPr>
            <w:rStyle w:val="Hyperlink"/>
          </w:rPr>
          <w:t>online</w:t>
        </w:r>
      </w:hyperlink>
    </w:p>
    <w:p w14:paraId="7879B480" w14:textId="77777777" w:rsidR="00022915" w:rsidRPr="00A13588" w:rsidRDefault="00022915" w:rsidP="00022915">
      <w:r>
        <w:t xml:space="preserve">New South Wales Government (2015) </w:t>
      </w:r>
      <w:r>
        <w:rPr>
          <w:i/>
        </w:rPr>
        <w:t>NSW Container Deposit Scheme:  Discussion paper</w:t>
      </w:r>
      <w:r>
        <w:t xml:space="preserve">. NSW Environmental Protection Agency, Sydney, December </w:t>
      </w:r>
    </w:p>
    <w:p w14:paraId="700E7B2C" w14:textId="77777777" w:rsidR="00022915" w:rsidRDefault="00022915" w:rsidP="00022915">
      <w:r>
        <w:t xml:space="preserve">Northern Territory Government (2012). </w:t>
      </w:r>
      <w:r w:rsidRPr="00DC1DFE">
        <w:rPr>
          <w:i/>
        </w:rPr>
        <w:t>Cash for Containers: now in place across the Territory</w:t>
      </w:r>
      <w:r>
        <w:t xml:space="preserve">, NT Government, Darwin, </w:t>
      </w:r>
      <w:hyperlink r:id="rId41" w:history="1">
        <w:r w:rsidRPr="00DC1DFE">
          <w:rPr>
            <w:rStyle w:val="Hyperlink"/>
          </w:rPr>
          <w:t>online</w:t>
        </w:r>
      </w:hyperlink>
      <w:r>
        <w:t>.</w:t>
      </w:r>
    </w:p>
    <w:p w14:paraId="76983DBE" w14:textId="77777777" w:rsidR="00022915" w:rsidRDefault="00022915" w:rsidP="00022915">
      <w:r>
        <w:t xml:space="preserve">Office of Best Practice Regulation (OBPR) (2014). </w:t>
      </w:r>
      <w:r w:rsidRPr="006569D8">
        <w:rPr>
          <w:i/>
        </w:rPr>
        <w:t>Research report: environmental valuation and uncertainty</w:t>
      </w:r>
      <w:r w:rsidRPr="006569D8">
        <w:t xml:space="preserve">, Department of </w:t>
      </w:r>
      <w:r>
        <w:t xml:space="preserve">the </w:t>
      </w:r>
      <w:r w:rsidRPr="006569D8">
        <w:t>Prime Minister and Cabinet, Canberra</w:t>
      </w:r>
      <w:r>
        <w:t xml:space="preserve">, July, </w:t>
      </w:r>
      <w:hyperlink r:id="rId42" w:history="1">
        <w:r w:rsidRPr="006569D8">
          <w:rPr>
            <w:rStyle w:val="Hyperlink"/>
          </w:rPr>
          <w:t>online</w:t>
        </w:r>
      </w:hyperlink>
      <w:r>
        <w:t>.</w:t>
      </w:r>
    </w:p>
    <w:p w14:paraId="49859E7B" w14:textId="77777777" w:rsidR="00022915" w:rsidRDefault="00022915" w:rsidP="00022915">
      <w:r>
        <w:t>Office of Best Practice Regulation (OBPR) (2016).</w:t>
      </w:r>
      <w:r w:rsidRPr="00BC6749">
        <w:t xml:space="preserve"> </w:t>
      </w:r>
      <w:r w:rsidRPr="00BC6749">
        <w:rPr>
          <w:i/>
        </w:rPr>
        <w:t>Regulation cost–benefit analysis guidance note</w:t>
      </w:r>
      <w:r w:rsidRPr="00BC6749">
        <w:t>, Department of the Prime Minister and Cabinet, Canberra,</w:t>
      </w:r>
      <w:r>
        <w:t xml:space="preserve"> </w:t>
      </w:r>
      <w:hyperlink r:id="rId43" w:history="1">
        <w:r>
          <w:rPr>
            <w:rStyle w:val="Hyperlink"/>
          </w:rPr>
          <w:t>online</w:t>
        </w:r>
      </w:hyperlink>
      <w:r>
        <w:t>.</w:t>
      </w:r>
    </w:p>
    <w:p w14:paraId="261DA349" w14:textId="77777777" w:rsidR="00022915" w:rsidRDefault="00022915" w:rsidP="00022915">
      <w:r w:rsidRPr="00571E38">
        <w:t>Oxford economics report for the British soft drinks association, The Economic Impact Of The Soft Drinks Levy, August 2016</w:t>
      </w:r>
      <w:r>
        <w:t>,</w:t>
      </w:r>
      <w:r w:rsidRPr="00571E38">
        <w:t xml:space="preserve">  </w:t>
      </w:r>
      <w:hyperlink r:id="rId44" w:history="1">
        <w:r w:rsidRPr="00571E38">
          <w:rPr>
            <w:rStyle w:val="Hyperlink"/>
            <w:szCs w:val="24"/>
          </w:rPr>
          <w:t>online</w:t>
        </w:r>
      </w:hyperlink>
      <w:r>
        <w:t xml:space="preserve">. </w:t>
      </w:r>
    </w:p>
    <w:p w14:paraId="5A0DEFC0" w14:textId="77777777" w:rsidR="00022915" w:rsidRDefault="00022915" w:rsidP="00022915">
      <w:r>
        <w:t xml:space="preserve">Productivity Commission (PC) (2006). </w:t>
      </w:r>
      <w:r w:rsidRPr="002E7082">
        <w:rPr>
          <w:i/>
        </w:rPr>
        <w:t>Waste management</w:t>
      </w:r>
      <w:r>
        <w:t xml:space="preserve">, inquiry report no. 38, PC, Melbourne, 20 October, </w:t>
      </w:r>
      <w:hyperlink r:id="rId45" w:history="1">
        <w:r>
          <w:rPr>
            <w:rStyle w:val="Hyperlink"/>
          </w:rPr>
          <w:t>online</w:t>
        </w:r>
      </w:hyperlink>
      <w:r>
        <w:t>.</w:t>
      </w:r>
    </w:p>
    <w:p w14:paraId="63B3767C" w14:textId="77777777" w:rsidR="00022915" w:rsidRDefault="00022915" w:rsidP="00022915">
      <w:r>
        <w:t xml:space="preserve">PricewaterhouseCoopers (PwC) (2010). </w:t>
      </w:r>
      <w:r w:rsidRPr="006569D8">
        <w:t>Estimating consumers’ willingness to pay for improvements to packaging and beverage container waste management, report prepared for the Environment Protection and Heritage Council</w:t>
      </w:r>
      <w:r>
        <w:t>.</w:t>
      </w:r>
    </w:p>
    <w:p w14:paraId="76D555CD" w14:textId="77777777" w:rsidR="00022915" w:rsidRDefault="00022915" w:rsidP="00022915">
      <w:r>
        <w:t xml:space="preserve">Stern, NH (2006). </w:t>
      </w:r>
      <w:r w:rsidRPr="00C22629">
        <w:rPr>
          <w:i/>
        </w:rPr>
        <w:t>The economics of climate change: the Stern review</w:t>
      </w:r>
      <w:r>
        <w:t>, Cambridge University Press, United Kingdom.</w:t>
      </w:r>
    </w:p>
    <w:p w14:paraId="714982BF" w14:textId="77777777" w:rsidR="00022915" w:rsidRDefault="00022915" w:rsidP="00022915">
      <w:r>
        <w:t xml:space="preserve">Transport Canberra and City Services (TCCS) (2018). </w:t>
      </w:r>
      <w:r w:rsidRPr="00DC1DFE">
        <w:rPr>
          <w:i/>
        </w:rPr>
        <w:t>Container Deposit Scheme</w:t>
      </w:r>
      <w:r>
        <w:t xml:space="preserve">, Australian Capital Territory Government, Canberra, </w:t>
      </w:r>
      <w:hyperlink r:id="rId46" w:history="1">
        <w:r w:rsidRPr="00DC1DFE">
          <w:rPr>
            <w:rStyle w:val="Hyperlink"/>
          </w:rPr>
          <w:t>online</w:t>
        </w:r>
      </w:hyperlink>
      <w:r>
        <w:t>.</w:t>
      </w:r>
    </w:p>
    <w:p w14:paraId="2C29BB2B" w14:textId="77777777" w:rsidR="00022915" w:rsidRDefault="00022915" w:rsidP="00022915">
      <w:r>
        <w:t xml:space="preserve">Transport for NSW (TfNSW) (2016). </w:t>
      </w:r>
      <w:r w:rsidRPr="0082412F">
        <w:t>Principles and guidelines for economic appraisal of transport investment and initiatives: transport economic appraisal guidelines</w:t>
      </w:r>
      <w:r>
        <w:t xml:space="preserve">, NSW Government, Sydney, March, </w:t>
      </w:r>
      <w:hyperlink r:id="rId47" w:history="1">
        <w:r w:rsidRPr="0082412F">
          <w:rPr>
            <w:rStyle w:val="Hyperlink"/>
          </w:rPr>
          <w:t>online</w:t>
        </w:r>
      </w:hyperlink>
      <w:r>
        <w:t>.</w:t>
      </w:r>
    </w:p>
    <w:p w14:paraId="57FE3C1B" w14:textId="77777777" w:rsidR="00022915" w:rsidRDefault="00022915" w:rsidP="00022915">
      <w:r>
        <w:t xml:space="preserve">United Nations Environment Programme (UNEP) 2014. </w:t>
      </w:r>
      <w:r w:rsidRPr="00BC6749">
        <w:rPr>
          <w:i/>
        </w:rPr>
        <w:t>Valuing plastics: the business case for measuring, managing and disclosing plastic use in the consumer goods industry</w:t>
      </w:r>
      <w:r>
        <w:t xml:space="preserve">, </w:t>
      </w:r>
      <w:hyperlink r:id="rId48" w:history="1">
        <w:r>
          <w:rPr>
            <w:rStyle w:val="Hyperlink"/>
          </w:rPr>
          <w:t>online</w:t>
        </w:r>
      </w:hyperlink>
      <w:r>
        <w:t>.</w:t>
      </w:r>
    </w:p>
    <w:p w14:paraId="4F54CFB1" w14:textId="77777777" w:rsidR="00022915" w:rsidRDefault="00022915" w:rsidP="00022915">
      <w:r>
        <w:t xml:space="preserve">Western Australian Government (2010). </w:t>
      </w:r>
      <w:r>
        <w:rPr>
          <w:i/>
        </w:rPr>
        <w:t>Regulatory Impact Assessment guidelines</w:t>
      </w:r>
      <w:r>
        <w:t xml:space="preserve">, Western Australian Government, Perth, July, </w:t>
      </w:r>
      <w:hyperlink r:id="rId49" w:history="1">
        <w:r>
          <w:rPr>
            <w:rStyle w:val="Hyperlink"/>
          </w:rPr>
          <w:t>online</w:t>
        </w:r>
      </w:hyperlink>
      <w:r>
        <w:t>.</w:t>
      </w:r>
    </w:p>
    <w:p w14:paraId="03B0AB1F" w14:textId="77777777" w:rsidR="00022915" w:rsidRDefault="00022915" w:rsidP="00022915">
      <w:r>
        <w:t xml:space="preserve">Western Australian Government (2016). ‘Cash back for drink containers to help recycling’, media release, Western Australian Government, Perth, </w:t>
      </w:r>
      <w:hyperlink r:id="rId50" w:history="1">
        <w:r w:rsidRPr="000B2486">
          <w:rPr>
            <w:rStyle w:val="Hyperlink"/>
          </w:rPr>
          <w:t>online</w:t>
        </w:r>
      </w:hyperlink>
      <w:r>
        <w:t>.</w:t>
      </w:r>
    </w:p>
    <w:p w14:paraId="2BA1745E" w14:textId="77777777" w:rsidR="00022915" w:rsidRDefault="00022915" w:rsidP="00022915">
      <w:r w:rsidRPr="00A404BA">
        <w:t>Wardman</w:t>
      </w:r>
      <w:r>
        <w:t xml:space="preserve"> M</w:t>
      </w:r>
      <w:r w:rsidRPr="00A404BA">
        <w:t>, Bristow</w:t>
      </w:r>
      <w:r>
        <w:t xml:space="preserve"> A</w:t>
      </w:r>
      <w:r w:rsidRPr="00A404BA">
        <w:t>, Shires</w:t>
      </w:r>
      <w:r>
        <w:t xml:space="preserve"> J (2011).</w:t>
      </w:r>
      <w:r w:rsidRPr="00A404BA">
        <w:t xml:space="preserve"> </w:t>
      </w:r>
      <w:r w:rsidRPr="00A404BA">
        <w:rPr>
          <w:i/>
        </w:rPr>
        <w:t>Estimating the value of a range of local environmental impacts</w:t>
      </w:r>
      <w:r w:rsidRPr="00A404BA">
        <w:t xml:space="preserve">, report prepared for the </w:t>
      </w:r>
      <w:r>
        <w:t>United Kingdom</w:t>
      </w:r>
      <w:r w:rsidRPr="00A404BA">
        <w:t xml:space="preserve"> Department for Environment, Food and Rural Affairs, University of Leeds and Loughborough University, April</w:t>
      </w:r>
      <w:r>
        <w:t>.</w:t>
      </w:r>
    </w:p>
    <w:p w14:paraId="6BFA0526" w14:textId="77777777" w:rsidR="00022915" w:rsidRDefault="00022915" w:rsidP="00022915">
      <w:r>
        <w:t xml:space="preserve">Waste Authority (2012) </w:t>
      </w:r>
      <w:r>
        <w:rPr>
          <w:i/>
        </w:rPr>
        <w:t>Western Australian Waste Strategy:  Creating the right environment</w:t>
      </w:r>
      <w:r>
        <w:t>.  Western Australian Waste Authority, Perth.  March 2012.</w:t>
      </w:r>
    </w:p>
    <w:p w14:paraId="71A47C30" w14:textId="77777777" w:rsidR="00022915" w:rsidRDefault="00022915" w:rsidP="00022915">
      <w:r>
        <w:t xml:space="preserve">Wright Corporate Strategy Pty Ltd (WCS) (2010). </w:t>
      </w:r>
      <w:r w:rsidRPr="00C22629">
        <w:rPr>
          <w:i/>
        </w:rPr>
        <w:t>Review of the application of landfill standards</w:t>
      </w:r>
      <w:r>
        <w:t xml:space="preserve">, report for the Department of the Environment, Heritage and the Arts, Canberra, </w:t>
      </w:r>
      <w:hyperlink r:id="rId51" w:history="1">
        <w:r w:rsidRPr="00C22629">
          <w:rPr>
            <w:rStyle w:val="Hyperlink"/>
          </w:rPr>
          <w:t>online</w:t>
        </w:r>
      </w:hyperlink>
      <w:r>
        <w:t>.</w:t>
      </w:r>
    </w:p>
    <w:p w14:paraId="4E3D212B" w14:textId="77777777" w:rsidR="00022915" w:rsidRPr="004B5BB7" w:rsidRDefault="00022915" w:rsidP="00022915">
      <w:r w:rsidRPr="002E7082">
        <w:t>Wowkonowicz P, Kijeńska M (2017)</w:t>
      </w:r>
      <w:r>
        <w:t>.</w:t>
      </w:r>
      <w:r w:rsidRPr="002E7082">
        <w:t xml:space="preserve"> </w:t>
      </w:r>
      <w:r>
        <w:t>‘</w:t>
      </w:r>
      <w:r w:rsidRPr="002E7082">
        <w:t>Phthalate release in leachate from municipal landfills of central Poland</w:t>
      </w:r>
      <w:r>
        <w:t>’,</w:t>
      </w:r>
      <w:r w:rsidRPr="002E7082">
        <w:t xml:space="preserve"> </w:t>
      </w:r>
      <w:r w:rsidRPr="00BC6749">
        <w:rPr>
          <w:i/>
        </w:rPr>
        <w:t>PLoS ONE</w:t>
      </w:r>
      <w:r>
        <w:t xml:space="preserve">, 12(3): </w:t>
      </w:r>
      <w:r w:rsidRPr="002E7082">
        <w:t>e0174986</w:t>
      </w:r>
      <w:r>
        <w:t xml:space="preserve">, </w:t>
      </w:r>
      <w:hyperlink r:id="rId52" w:history="1">
        <w:r w:rsidRPr="00B21904">
          <w:rPr>
            <w:rStyle w:val="Hyperlink"/>
          </w:rPr>
          <w:t>online</w:t>
        </w:r>
      </w:hyperlink>
      <w:r>
        <w:t>.</w:t>
      </w:r>
    </w:p>
    <w:p w14:paraId="1A2E3F79" w14:textId="77777777" w:rsidR="00022915" w:rsidRDefault="00022915" w:rsidP="00022915"/>
    <w:p w14:paraId="7B45B80E" w14:textId="77777777" w:rsidR="00022915" w:rsidRDefault="00022915" w:rsidP="00022915">
      <w:pPr>
        <w:pStyle w:val="Heading1nonumbering"/>
      </w:pPr>
      <w:bookmarkStart w:id="226" w:name="_Toc9375389"/>
      <w:r w:rsidRPr="00D94964">
        <w:t>Appendix</w:t>
      </w:r>
      <w:r w:rsidRPr="002936A6">
        <w:t xml:space="preserve"> </w:t>
      </w:r>
      <w:r w:rsidRPr="00D94964">
        <w:fldChar w:fldCharType="begin"/>
      </w:r>
      <w:r w:rsidRPr="00D94964">
        <w:instrText xml:space="preserve"> AUTONUM  \* ALPHABETIC \s " " </w:instrText>
      </w:r>
      <w:r w:rsidRPr="00D94964">
        <w:fldChar w:fldCharType="end"/>
      </w:r>
      <w:r w:rsidRPr="002936A6">
        <w:t>— Technical Annex</w:t>
      </w:r>
      <w:bookmarkEnd w:id="226"/>
      <w:r w:rsidRPr="002936A6">
        <w:t xml:space="preserve"> </w:t>
      </w:r>
    </w:p>
    <w:p w14:paraId="3CB2ECA5" w14:textId="77777777" w:rsidR="00022915" w:rsidRPr="002633B6" w:rsidRDefault="00022915" w:rsidP="00022915">
      <w:r w:rsidRPr="002633B6">
        <w:t xml:space="preserve">This technical annex accompanies the </w:t>
      </w:r>
      <w:r>
        <w:t>cost-benefit analysis report</w:t>
      </w:r>
      <w:r w:rsidRPr="002633B6">
        <w:t xml:space="preserve"> on the</w:t>
      </w:r>
      <w:r>
        <w:t xml:space="preserve"> Western Australian </w:t>
      </w:r>
      <w:r w:rsidRPr="002633B6">
        <w:t xml:space="preserve">CDS. It provides background for </w:t>
      </w:r>
      <w:r>
        <w:t>key</w:t>
      </w:r>
      <w:r w:rsidRPr="002633B6">
        <w:t xml:space="preserve"> assumptions presented in the main document</w:t>
      </w:r>
      <w:r>
        <w:t>,</w:t>
      </w:r>
      <w:r w:rsidRPr="002633B6">
        <w:t xml:space="preserve"> including</w:t>
      </w:r>
      <w:r>
        <w:t>:</w:t>
      </w:r>
    </w:p>
    <w:p w14:paraId="372D3DA6" w14:textId="77777777" w:rsidR="00022915" w:rsidRDefault="00022915" w:rsidP="00022915">
      <w:pPr>
        <w:pStyle w:val="Bullets1stindent"/>
        <w:spacing w:line="240" w:lineRule="auto"/>
      </w:pPr>
      <w:r>
        <w:t>data on the impact of CDS;</w:t>
      </w:r>
    </w:p>
    <w:p w14:paraId="5DA2DCA0" w14:textId="77777777" w:rsidR="00022915" w:rsidRDefault="00022915" w:rsidP="00022915">
      <w:pPr>
        <w:pStyle w:val="Bullets1stindent"/>
        <w:spacing w:line="240" w:lineRule="auto"/>
      </w:pPr>
      <w:bookmarkStart w:id="227" w:name="_Hlk506550700"/>
      <w:r>
        <w:t>reduced kerbside collection, transport, processing and/or disposal cost</w:t>
      </w:r>
      <w:bookmarkEnd w:id="227"/>
      <w:r>
        <w:t>;</w:t>
      </w:r>
    </w:p>
    <w:p w14:paraId="4BF6BF5D" w14:textId="77777777" w:rsidR="00022915" w:rsidRPr="002633B6" w:rsidRDefault="00022915" w:rsidP="00022915">
      <w:pPr>
        <w:pStyle w:val="Bullets1stindent"/>
        <w:spacing w:line="240" w:lineRule="auto"/>
      </w:pPr>
      <w:r w:rsidRPr="002633B6">
        <w:t>avoided landfill externalities</w:t>
      </w:r>
      <w:r>
        <w:t>;</w:t>
      </w:r>
    </w:p>
    <w:p w14:paraId="54183970" w14:textId="77777777" w:rsidR="00022915" w:rsidRDefault="00022915" w:rsidP="00022915">
      <w:pPr>
        <w:pStyle w:val="Bullets1stindent"/>
        <w:spacing w:line="240" w:lineRule="auto"/>
      </w:pPr>
      <w:r>
        <w:t>household participation costs;</w:t>
      </w:r>
    </w:p>
    <w:p w14:paraId="406051AF" w14:textId="77777777" w:rsidR="00022915" w:rsidRPr="002633B6" w:rsidRDefault="00022915" w:rsidP="00022915">
      <w:pPr>
        <w:pStyle w:val="Bullets1stindent"/>
        <w:spacing w:line="240" w:lineRule="auto"/>
      </w:pPr>
      <w:r>
        <w:t>business participation costs</w:t>
      </w:r>
      <w:r w:rsidRPr="002633B6">
        <w:t>; and</w:t>
      </w:r>
    </w:p>
    <w:p w14:paraId="4A2A71CD" w14:textId="77777777" w:rsidR="00022915" w:rsidRPr="002633B6" w:rsidRDefault="00022915" w:rsidP="00022915">
      <w:pPr>
        <w:pStyle w:val="Bullets1stindent"/>
        <w:spacing w:line="240" w:lineRule="auto"/>
      </w:pPr>
      <w:r w:rsidRPr="002633B6">
        <w:t>willingness to pay.</w:t>
      </w:r>
    </w:p>
    <w:p w14:paraId="595CAD66" w14:textId="77777777" w:rsidR="00022915" w:rsidRPr="002633B6" w:rsidRDefault="00022915" w:rsidP="00022915">
      <w:r w:rsidRPr="002633B6">
        <w:t>The framework for the material flows analysis underpinning the cost</w:t>
      </w:r>
      <w:r>
        <w:rPr>
          <w:rFonts w:cs="Calibri"/>
        </w:rPr>
        <w:t>–</w:t>
      </w:r>
      <w:r w:rsidRPr="002633B6">
        <w:t xml:space="preserve">benefit analysis is also briefly discussed. </w:t>
      </w:r>
    </w:p>
    <w:p w14:paraId="5374F96C" w14:textId="77777777" w:rsidR="00022915" w:rsidRPr="00D67FDF" w:rsidRDefault="00022915" w:rsidP="00022915">
      <w:pPr>
        <w:pStyle w:val="Heading2nonumbering"/>
      </w:pPr>
      <w:bookmarkStart w:id="228" w:name="_Toc499821554"/>
      <w:bookmarkStart w:id="229" w:name="_Toc9375390"/>
      <w:r w:rsidRPr="00D67FDF">
        <w:t>Data on the impact of container deposit schemes</w:t>
      </w:r>
      <w:bookmarkEnd w:id="228"/>
      <w:bookmarkEnd w:id="229"/>
    </w:p>
    <w:p w14:paraId="49917621" w14:textId="77777777" w:rsidR="00022915" w:rsidRPr="00B647BF" w:rsidRDefault="00022915" w:rsidP="00022915">
      <w:r w:rsidRPr="00B647BF">
        <w:t xml:space="preserve">The likely </w:t>
      </w:r>
      <w:r>
        <w:t>impact</w:t>
      </w:r>
      <w:r w:rsidRPr="00B647BF">
        <w:t xml:space="preserve"> of the CDS in </w:t>
      </w:r>
      <w:r>
        <w:t xml:space="preserve">Western Australia </w:t>
      </w:r>
      <w:r w:rsidRPr="00B647BF">
        <w:t>can be estimated based on litter data for South</w:t>
      </w:r>
      <w:r>
        <w:t> </w:t>
      </w:r>
      <w:r w:rsidRPr="00B647BF">
        <w:t>Australia</w:t>
      </w:r>
      <w:r>
        <w:t xml:space="preserve">, </w:t>
      </w:r>
      <w:r w:rsidRPr="00B647BF">
        <w:t>as an example of an existing scheme.</w:t>
      </w:r>
      <w:r>
        <w:t xml:space="preserve"> </w:t>
      </w:r>
      <w:r w:rsidRPr="00B647BF">
        <w:t>The following text has been adapted from Attachment</w:t>
      </w:r>
      <w:r>
        <w:t> </w:t>
      </w:r>
      <w:r w:rsidRPr="00B647BF">
        <w:t>K</w:t>
      </w:r>
      <w:r w:rsidRPr="00137AEF">
        <w:t xml:space="preserve"> </w:t>
      </w:r>
      <w:r>
        <w:t>(MJA 2013</w:t>
      </w:r>
      <w:r w:rsidRPr="00C32696">
        <w:t>)</w:t>
      </w:r>
      <w:r w:rsidRPr="00566994">
        <w:t xml:space="preserve"> </w:t>
      </w:r>
      <w:r w:rsidRPr="00C32696">
        <w:t>t</w:t>
      </w:r>
      <w:r w:rsidRPr="00B647BF">
        <w:t xml:space="preserve">o the Packaging </w:t>
      </w:r>
      <w:r>
        <w:t>Impacts</w:t>
      </w:r>
      <w:r w:rsidRPr="00B647BF">
        <w:t xml:space="preserve"> Decision </w:t>
      </w:r>
      <w:r>
        <w:t>RIS</w:t>
      </w:r>
      <w:r w:rsidRPr="00137AEF">
        <w:t xml:space="preserve"> </w:t>
      </w:r>
      <w:r>
        <w:t>(NEPC 2014).</w:t>
      </w:r>
    </w:p>
    <w:p w14:paraId="6C6DBE48" w14:textId="77777777" w:rsidR="00022915" w:rsidRPr="00EE5976" w:rsidRDefault="00022915" w:rsidP="00022915">
      <w:r>
        <w:t xml:space="preserve">National Litter Index </w:t>
      </w:r>
      <w:r w:rsidRPr="00EE5976">
        <w:t xml:space="preserve">data from two years (2011 and 2012) was </w:t>
      </w:r>
      <w:r>
        <w:t xml:space="preserve">broken down </w:t>
      </w:r>
      <w:r w:rsidRPr="00EE5976">
        <w:t xml:space="preserve">for this study </w:t>
      </w:r>
      <w:r>
        <w:t xml:space="preserve">to </w:t>
      </w:r>
      <w:r w:rsidRPr="00EE5976">
        <w:t>separat</w:t>
      </w:r>
      <w:r>
        <w:t>e</w:t>
      </w:r>
      <w:r w:rsidRPr="00EE5976">
        <w:t xml:space="preserve"> beverage container, non-beverage container packaging and non</w:t>
      </w:r>
      <w:r>
        <w:noBreakHyphen/>
      </w:r>
      <w:r w:rsidRPr="00EE5976">
        <w:t>packaging litter data for South Australia and the rest of Australia.</w:t>
      </w:r>
      <w:r>
        <w:t xml:space="preserve"> </w:t>
      </w:r>
      <w:r w:rsidRPr="00EE5976">
        <w:t xml:space="preserve">That data was used to develop estimates of beverage container and other packaging litter rates in South Australia compared to the rest of Australia. </w:t>
      </w:r>
    </w:p>
    <w:p w14:paraId="4929B862" w14:textId="77777777" w:rsidR="00022915" w:rsidRPr="00B647BF" w:rsidRDefault="00022915" w:rsidP="00022915">
      <w:r w:rsidRPr="005313C7">
        <w:t xml:space="preserve">The estimates used are based on South Australia data that shows beverage container litter rates </w:t>
      </w:r>
      <w:r>
        <w:t xml:space="preserve">in that state </w:t>
      </w:r>
      <w:r w:rsidRPr="005313C7">
        <w:t>were only 41</w:t>
      </w:r>
      <w:r>
        <w:t xml:space="preserve"> per cent</w:t>
      </w:r>
      <w:r w:rsidRPr="005313C7">
        <w:t xml:space="preserve"> of beverage container litter rates Australia wide (on a weight basis). Litter rates of other packaging were similar in South Australia to </w:t>
      </w:r>
      <w:r>
        <w:t xml:space="preserve">those in </w:t>
      </w:r>
      <w:r w:rsidRPr="005313C7">
        <w:t>the rest of Australia.</w:t>
      </w:r>
      <w:r>
        <w:t xml:space="preserve"> </w:t>
      </w:r>
    </w:p>
    <w:p w14:paraId="6093548D" w14:textId="77777777" w:rsidR="00022915" w:rsidRPr="00D67FDF" w:rsidRDefault="00022915" w:rsidP="00022915">
      <w:pPr>
        <w:pStyle w:val="Heading3"/>
      </w:pPr>
      <w:bookmarkStart w:id="230" w:name="_Toc499821555"/>
      <w:r w:rsidRPr="00D67FDF">
        <w:t>Avoided (kerbside) collection, transport, processing and/or disposal costs</w:t>
      </w:r>
    </w:p>
    <w:p w14:paraId="0F1F93F8" w14:textId="77777777" w:rsidR="00022915" w:rsidRDefault="00022915" w:rsidP="00022915">
      <w:r w:rsidRPr="00B0258F">
        <w:t>The introduction of the CDS will divert containers away from</w:t>
      </w:r>
      <w:r>
        <w:t xml:space="preserve"> garbage and recycling</w:t>
      </w:r>
      <w:r w:rsidRPr="00B0258F">
        <w:t xml:space="preserve"> </w:t>
      </w:r>
      <w:r>
        <w:t>kerbside collection and public litter and recycling bins</w:t>
      </w:r>
      <w:r w:rsidRPr="00B0258F">
        <w:t xml:space="preserve">. </w:t>
      </w:r>
      <w:r>
        <w:t>Specifically, the CDS will result in part of the following costs being avoided:</w:t>
      </w:r>
    </w:p>
    <w:p w14:paraId="497C5667" w14:textId="77777777" w:rsidR="00022915" w:rsidRPr="001B0633" w:rsidRDefault="00022915" w:rsidP="00022915">
      <w:pPr>
        <w:pStyle w:val="Bullets1stindent"/>
        <w:spacing w:before="60" w:line="240" w:lineRule="auto"/>
      </w:pPr>
      <w:r w:rsidRPr="001B0633">
        <w:t xml:space="preserve">kerbside collection going to </w:t>
      </w:r>
      <w:r>
        <w:t>and being processed at material recovery facilities;</w:t>
      </w:r>
    </w:p>
    <w:p w14:paraId="420B87EE" w14:textId="77777777" w:rsidR="00022915" w:rsidRPr="001B0633" w:rsidRDefault="00022915" w:rsidP="00022915">
      <w:pPr>
        <w:pStyle w:val="Bullets1stindent"/>
        <w:spacing w:before="60" w:line="240" w:lineRule="auto"/>
      </w:pPr>
      <w:r w:rsidRPr="001B0633">
        <w:t>kerbside collection going to</w:t>
      </w:r>
      <w:r>
        <w:t xml:space="preserve"> and being disposed at</w:t>
      </w:r>
      <w:r w:rsidRPr="001B0633">
        <w:t xml:space="preserve"> landfills</w:t>
      </w:r>
      <w:r>
        <w:t>;</w:t>
      </w:r>
    </w:p>
    <w:p w14:paraId="4F6A9F7C" w14:textId="77777777" w:rsidR="00022915" w:rsidRPr="001B0633" w:rsidRDefault="00022915" w:rsidP="00022915">
      <w:pPr>
        <w:pStyle w:val="Bullets1stindent"/>
        <w:spacing w:before="60" w:line="240" w:lineRule="auto"/>
      </w:pPr>
      <w:r w:rsidRPr="001B0633">
        <w:t xml:space="preserve">commercial and </w:t>
      </w:r>
      <w:r>
        <w:t>i</w:t>
      </w:r>
      <w:r w:rsidRPr="001B0633">
        <w:t xml:space="preserve">ndustrial collection going to </w:t>
      </w:r>
      <w:r>
        <w:t>and being processed at material recovery facilities;</w:t>
      </w:r>
    </w:p>
    <w:p w14:paraId="487532B6" w14:textId="77777777" w:rsidR="00022915" w:rsidRPr="001B0633" w:rsidRDefault="00022915" w:rsidP="00022915">
      <w:pPr>
        <w:pStyle w:val="Bullets1stindent"/>
        <w:spacing w:before="60" w:line="240" w:lineRule="auto"/>
      </w:pPr>
      <w:r w:rsidRPr="001B0633">
        <w:t xml:space="preserve">commercial and </w:t>
      </w:r>
      <w:r>
        <w:t>i</w:t>
      </w:r>
      <w:r w:rsidRPr="001B0633">
        <w:t xml:space="preserve">ndustrial collection going to </w:t>
      </w:r>
      <w:r>
        <w:t>and being disposed at</w:t>
      </w:r>
      <w:r w:rsidRPr="001B0633">
        <w:t xml:space="preserve"> landfill</w:t>
      </w:r>
      <w:r>
        <w:t>;</w:t>
      </w:r>
    </w:p>
    <w:p w14:paraId="532741B7" w14:textId="77777777" w:rsidR="00022915" w:rsidRDefault="00022915" w:rsidP="00022915">
      <w:pPr>
        <w:pStyle w:val="Bullets1stindent"/>
        <w:spacing w:before="60" w:line="240" w:lineRule="auto"/>
      </w:pPr>
      <w:r w:rsidRPr="001B0633">
        <w:t xml:space="preserve">public place collection going to </w:t>
      </w:r>
      <w:r>
        <w:t>and being processed at material recovery facilities; and</w:t>
      </w:r>
    </w:p>
    <w:p w14:paraId="2410DBE7" w14:textId="77777777" w:rsidR="00022915" w:rsidRPr="00B0258F" w:rsidRDefault="00022915" w:rsidP="00022915">
      <w:pPr>
        <w:pStyle w:val="Bullets1stindent"/>
        <w:spacing w:before="60" w:line="240" w:lineRule="auto"/>
      </w:pPr>
      <w:r w:rsidRPr="001B0633">
        <w:t xml:space="preserve">public place collection going to </w:t>
      </w:r>
      <w:r>
        <w:t>and being disposed at</w:t>
      </w:r>
      <w:r w:rsidRPr="001B0633">
        <w:t xml:space="preserve"> landfill</w:t>
      </w:r>
      <w:r>
        <w:t>.</w:t>
      </w:r>
    </w:p>
    <w:p w14:paraId="35D0FF44" w14:textId="77777777" w:rsidR="00022915" w:rsidRDefault="00022915" w:rsidP="00022915">
      <w:r w:rsidRPr="00B0258F">
        <w:t xml:space="preserve">To estimate the economic benefit associated with reduced </w:t>
      </w:r>
      <w:r>
        <w:t>collection, transport, processing and/or disposal costs,</w:t>
      </w:r>
      <w:r w:rsidRPr="00B0258F">
        <w:t xml:space="preserve"> the </w:t>
      </w:r>
      <w:r>
        <w:t>cost-benefit analysis</w:t>
      </w:r>
      <w:r w:rsidRPr="00B0258F">
        <w:t xml:space="preserve"> </w:t>
      </w:r>
      <w:r>
        <w:t>drew</w:t>
      </w:r>
      <w:r w:rsidRPr="00B0258F">
        <w:t xml:space="preserve"> on data </w:t>
      </w:r>
      <w:r>
        <w:t>provided by the Western Australian Government. Based on that information, the average cost of garbage and recycling collection, transport, processing and disposal has been estimated for the different regions:</w:t>
      </w:r>
    </w:p>
    <w:p w14:paraId="2DDD9F15" w14:textId="77777777" w:rsidR="00022915" w:rsidRDefault="00022915" w:rsidP="00022915">
      <w:pPr>
        <w:pStyle w:val="Bullets1stindent"/>
        <w:keepNext/>
        <w:spacing w:line="240" w:lineRule="auto"/>
      </w:pPr>
      <w:r>
        <w:t>urban:</w:t>
      </w:r>
    </w:p>
    <w:p w14:paraId="2A2CB821" w14:textId="77777777" w:rsidR="00022915" w:rsidRPr="00601938" w:rsidRDefault="00022915" w:rsidP="001F12B4">
      <w:pPr>
        <w:pStyle w:val="Bullets1stindent"/>
        <w:numPr>
          <w:ilvl w:val="0"/>
          <w:numId w:val="24"/>
        </w:numPr>
        <w:spacing w:before="60" w:line="240" w:lineRule="auto"/>
      </w:pPr>
      <w:r>
        <w:t>waste</w:t>
      </w:r>
      <w:r w:rsidRPr="00601938">
        <w:t>: $228 per tonne</w:t>
      </w:r>
    </w:p>
    <w:p w14:paraId="10A0991E" w14:textId="77777777" w:rsidR="00022915" w:rsidRPr="00601938" w:rsidRDefault="00022915" w:rsidP="001F12B4">
      <w:pPr>
        <w:pStyle w:val="Bullets1stindent"/>
        <w:numPr>
          <w:ilvl w:val="0"/>
          <w:numId w:val="24"/>
        </w:numPr>
        <w:spacing w:before="60" w:line="240" w:lineRule="auto"/>
      </w:pPr>
      <w:r>
        <w:t>r</w:t>
      </w:r>
      <w:r w:rsidRPr="00601938">
        <w:t>ecycling: $179 per tonne</w:t>
      </w:r>
    </w:p>
    <w:p w14:paraId="7C1EC02D" w14:textId="77777777" w:rsidR="00022915" w:rsidRDefault="00022915" w:rsidP="00022915">
      <w:pPr>
        <w:pStyle w:val="Bullets1stindent"/>
        <w:keepNext/>
        <w:spacing w:line="240" w:lineRule="auto"/>
      </w:pPr>
      <w:r>
        <w:t>regional and remote:</w:t>
      </w:r>
    </w:p>
    <w:p w14:paraId="42BF8BF6" w14:textId="77777777" w:rsidR="00022915" w:rsidRDefault="00022915" w:rsidP="001F12B4">
      <w:pPr>
        <w:pStyle w:val="Bullets1stindent"/>
        <w:numPr>
          <w:ilvl w:val="0"/>
          <w:numId w:val="24"/>
        </w:numPr>
        <w:spacing w:line="240" w:lineRule="auto"/>
      </w:pPr>
      <w:r>
        <w:t>waste: $143 per tonne</w:t>
      </w:r>
    </w:p>
    <w:p w14:paraId="496941E5" w14:textId="77777777" w:rsidR="00022915" w:rsidRDefault="00022915" w:rsidP="001F12B4">
      <w:pPr>
        <w:pStyle w:val="Bullets1stindent"/>
        <w:numPr>
          <w:ilvl w:val="0"/>
          <w:numId w:val="24"/>
        </w:numPr>
        <w:spacing w:line="240" w:lineRule="auto"/>
      </w:pPr>
      <w:r>
        <w:t>recycling: $295 per tonne</w:t>
      </w:r>
    </w:p>
    <w:p w14:paraId="6611CCC0" w14:textId="77777777" w:rsidR="00022915" w:rsidRPr="00EE5976" w:rsidRDefault="00022915" w:rsidP="00022915">
      <w:r>
        <w:t>Notably</w:t>
      </w:r>
      <w:r w:rsidRPr="0072652F">
        <w:t xml:space="preserve">, the operating costs do not include </w:t>
      </w:r>
      <w:r>
        <w:t>waste</w:t>
      </w:r>
      <w:r w:rsidRPr="0072652F">
        <w:t xml:space="preserve"> levies. </w:t>
      </w:r>
      <w:r>
        <w:t>Waste</w:t>
      </w:r>
      <w:r w:rsidRPr="0072652F">
        <w:t xml:space="preserve"> levies are a transfer from one stakeholder group (waste producers/managers) to another stakeholder group (</w:t>
      </w:r>
      <w:r>
        <w:t>s</w:t>
      </w:r>
      <w:r w:rsidRPr="0072652F">
        <w:t>tate governments) and, as such, do not constitute an economic cost. As a result, these costs are significantly lower than the financial costs of landfilling that may be seen in the market.</w:t>
      </w:r>
    </w:p>
    <w:p w14:paraId="53E8C46E" w14:textId="77777777" w:rsidR="00022915" w:rsidRPr="001B0633" w:rsidRDefault="00022915" w:rsidP="00022915">
      <w:r w:rsidRPr="009E1D93">
        <w:t xml:space="preserve">The avoided cost of </w:t>
      </w:r>
      <w:r>
        <w:t>collection, transport, process and/or disposal</w:t>
      </w:r>
      <w:r w:rsidRPr="009E1D93">
        <w:t xml:space="preserve"> is calculated in the </w:t>
      </w:r>
      <w:r>
        <w:t>cost-benefit analysis</w:t>
      </w:r>
      <w:r w:rsidRPr="009E1D93">
        <w:t xml:space="preserve"> as the product of the operating costs on a per tonne basis </w:t>
      </w:r>
      <w:r>
        <w:t xml:space="preserve">multiplied </w:t>
      </w:r>
      <w:r w:rsidRPr="009E1D93">
        <w:t xml:space="preserve">by the tonnage of containers that </w:t>
      </w:r>
      <w:r>
        <w:t>is</w:t>
      </w:r>
      <w:r w:rsidRPr="009E1D93">
        <w:t xml:space="preserve"> expected to be diverted away </w:t>
      </w:r>
      <w:r>
        <w:t xml:space="preserve">from kerbside, commercial and industrial and public garbage and recycling bins, </w:t>
      </w:r>
      <w:r w:rsidRPr="001B0633">
        <w:t xml:space="preserve">because households are now assumed to be redeeming containers </w:t>
      </w:r>
      <w:r>
        <w:t>at</w:t>
      </w:r>
      <w:r w:rsidRPr="001B0633">
        <w:t xml:space="preserve"> </w:t>
      </w:r>
      <w:r>
        <w:t>refund</w:t>
      </w:r>
      <w:r w:rsidRPr="001B0633">
        <w:t xml:space="preserve"> points</w:t>
      </w:r>
      <w:r w:rsidRPr="009E1D93">
        <w:t>.</w:t>
      </w:r>
      <w:r>
        <w:t xml:space="preserve">  T</w:t>
      </w:r>
      <w:r w:rsidRPr="001B0633">
        <w:t xml:space="preserve">hese avoided costs are more than offset by the household </w:t>
      </w:r>
      <w:r>
        <w:t xml:space="preserve">and business </w:t>
      </w:r>
      <w:r w:rsidRPr="001B0633">
        <w:t xml:space="preserve">participation costs and infrastructure development costs assumed in the </w:t>
      </w:r>
      <w:r>
        <w:t>cost-benefit analysis</w:t>
      </w:r>
      <w:r w:rsidRPr="001B0633">
        <w:t>.</w:t>
      </w:r>
    </w:p>
    <w:p w14:paraId="23C49245" w14:textId="77777777" w:rsidR="00022915" w:rsidRDefault="00022915" w:rsidP="00022915">
      <w:pPr>
        <w:pStyle w:val="Heading2nonumbering"/>
      </w:pPr>
      <w:bookmarkStart w:id="231" w:name="_Toc9375391"/>
      <w:bookmarkStart w:id="232" w:name="_Toc500154276"/>
      <w:bookmarkStart w:id="233" w:name="_Toc506552685"/>
      <w:r>
        <w:t>Assumptions</w:t>
      </w:r>
      <w:bookmarkEnd w:id="231"/>
    </w:p>
    <w:p w14:paraId="472C2088" w14:textId="77777777" w:rsidR="00022915" w:rsidRDefault="00022915" w:rsidP="00022915">
      <w:pPr>
        <w:pStyle w:val="Heading3"/>
      </w:pPr>
      <w:r>
        <w:t>Cost assumptions</w:t>
      </w:r>
    </w:p>
    <w:p w14:paraId="02E8D57B" w14:textId="77777777" w:rsidR="00022915" w:rsidRDefault="00022915" w:rsidP="00022915">
      <w:r>
        <w:fldChar w:fldCharType="begin"/>
      </w:r>
      <w:r>
        <w:instrText xml:space="preserve"> REF _Ref510617209 \h </w:instrText>
      </w:r>
      <w:r>
        <w:fldChar w:fldCharType="separate"/>
      </w:r>
      <w:r>
        <w:t xml:space="preserve">Table </w:t>
      </w:r>
      <w:r>
        <w:rPr>
          <w:noProof/>
        </w:rPr>
        <w:t>17</w:t>
      </w:r>
      <w:r>
        <w:fldChar w:fldCharType="end"/>
      </w:r>
      <w:r>
        <w:t xml:space="preserve"> </w:t>
      </w:r>
      <w:r w:rsidRPr="00E407A5">
        <w:t>provides a brief description</w:t>
      </w:r>
      <w:r>
        <w:t xml:space="preserve"> and discussion</w:t>
      </w:r>
      <w:r w:rsidRPr="00E407A5">
        <w:t xml:space="preserve"> of each cost item, with reference to underpinning assumptions.</w:t>
      </w:r>
    </w:p>
    <w:p w14:paraId="39527B84" w14:textId="77777777" w:rsidR="00022915" w:rsidRDefault="00022915" w:rsidP="00022915">
      <w:pPr>
        <w:pStyle w:val="Caption"/>
      </w:pPr>
      <w:bookmarkStart w:id="234" w:name="_Ref510617209"/>
      <w:bookmarkStart w:id="235" w:name="_Toc10031226"/>
      <w:r>
        <w:t xml:space="preserve">Table </w:t>
      </w:r>
      <w:r w:rsidR="00CF34D3">
        <w:rPr>
          <w:noProof/>
        </w:rPr>
        <w:fldChar w:fldCharType="begin"/>
      </w:r>
      <w:r w:rsidR="00CF34D3">
        <w:rPr>
          <w:noProof/>
        </w:rPr>
        <w:instrText xml:space="preserve"> SEQ Table \* ARABIC </w:instrText>
      </w:r>
      <w:r w:rsidR="00CF34D3">
        <w:rPr>
          <w:noProof/>
        </w:rPr>
        <w:fldChar w:fldCharType="separate"/>
      </w:r>
      <w:r>
        <w:rPr>
          <w:noProof/>
        </w:rPr>
        <w:t>17</w:t>
      </w:r>
      <w:r w:rsidR="00CF34D3">
        <w:rPr>
          <w:noProof/>
        </w:rPr>
        <w:fldChar w:fldCharType="end"/>
      </w:r>
      <w:bookmarkEnd w:id="234"/>
      <w:r>
        <w:t>: Description of cost assumptions</w:t>
      </w:r>
      <w:bookmarkEnd w:id="232"/>
      <w:bookmarkEnd w:id="233"/>
      <w:bookmarkEnd w:id="235"/>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escription of cost assumptions"/>
        <w:tblDescription w:val="Summary of the assumptions used in the development of the economic model and the basis for each estimate."/>
      </w:tblPr>
      <w:tblGrid>
        <w:gridCol w:w="1985"/>
        <w:gridCol w:w="3685"/>
        <w:gridCol w:w="3686"/>
      </w:tblGrid>
      <w:tr w:rsidR="00022915" w:rsidRPr="00496A85" w14:paraId="0B720F0C" w14:textId="77777777" w:rsidTr="00C53AB1">
        <w:trPr>
          <w:cantSplit/>
          <w:trHeight w:val="217"/>
          <w:tblHeader/>
        </w:trPr>
        <w:tc>
          <w:tcPr>
            <w:tcW w:w="1985" w:type="dxa"/>
            <w:shd w:val="clear" w:color="auto" w:fill="D9D9D9" w:themeFill="background1" w:themeFillShade="D9"/>
          </w:tcPr>
          <w:p w14:paraId="2C595AC3" w14:textId="77777777" w:rsidR="00022915" w:rsidRPr="00222881" w:rsidRDefault="00022915" w:rsidP="00C53AB1">
            <w:pPr>
              <w:pStyle w:val="Tableheading0"/>
              <w:keepNext w:val="0"/>
            </w:pPr>
            <w:r w:rsidRPr="00222881">
              <w:t>Cost category</w:t>
            </w:r>
          </w:p>
        </w:tc>
        <w:tc>
          <w:tcPr>
            <w:tcW w:w="3685" w:type="dxa"/>
            <w:shd w:val="clear" w:color="auto" w:fill="D9D9D9" w:themeFill="background1" w:themeFillShade="D9"/>
          </w:tcPr>
          <w:p w14:paraId="7AFBB338" w14:textId="77777777" w:rsidR="00022915" w:rsidRPr="00DA7A26" w:rsidRDefault="00022915" w:rsidP="00C53AB1">
            <w:pPr>
              <w:pStyle w:val="Tableheading0"/>
              <w:keepNext w:val="0"/>
            </w:pPr>
            <w:r w:rsidRPr="00DA7A26">
              <w:t>Description of item</w:t>
            </w:r>
          </w:p>
        </w:tc>
        <w:tc>
          <w:tcPr>
            <w:tcW w:w="3686" w:type="dxa"/>
            <w:shd w:val="clear" w:color="auto" w:fill="D9D9D9" w:themeFill="background1" w:themeFillShade="D9"/>
          </w:tcPr>
          <w:p w14:paraId="25175705" w14:textId="77777777" w:rsidR="00022915" w:rsidRPr="00DA7A26" w:rsidRDefault="00022915" w:rsidP="00C53AB1">
            <w:pPr>
              <w:pStyle w:val="Tableheading0"/>
              <w:keepNext w:val="0"/>
            </w:pPr>
            <w:r w:rsidRPr="00DA7A26">
              <w:t>Basis of estimate</w:t>
            </w:r>
          </w:p>
        </w:tc>
      </w:tr>
      <w:tr w:rsidR="00022915" w:rsidRPr="00496A85" w14:paraId="4E70A13E" w14:textId="77777777" w:rsidTr="00C53AB1">
        <w:trPr>
          <w:cantSplit/>
        </w:trPr>
        <w:tc>
          <w:tcPr>
            <w:tcW w:w="1985" w:type="dxa"/>
            <w:shd w:val="clear" w:color="auto" w:fill="auto"/>
          </w:tcPr>
          <w:p w14:paraId="31B7E3A0" w14:textId="77777777" w:rsidR="00022915" w:rsidRPr="00222881" w:rsidRDefault="00022915" w:rsidP="00C53AB1">
            <w:pPr>
              <w:pStyle w:val="Tabletext0"/>
              <w:widowControl w:val="0"/>
              <w:spacing w:before="60"/>
              <w:rPr>
                <w:rFonts w:cs="Arial"/>
                <w:szCs w:val="20"/>
              </w:rPr>
            </w:pPr>
            <w:r w:rsidRPr="00222881">
              <w:rPr>
                <w:rFonts w:cs="Arial"/>
                <w:szCs w:val="20"/>
              </w:rPr>
              <w:t>Scheme design and administration, including avoided costs</w:t>
            </w:r>
          </w:p>
          <w:p w14:paraId="76A447AA" w14:textId="77777777" w:rsidR="00022915" w:rsidRPr="00222881" w:rsidRDefault="00022915" w:rsidP="00C53AB1">
            <w:pPr>
              <w:pStyle w:val="Tabletext0"/>
              <w:widowControl w:val="0"/>
              <w:spacing w:before="60"/>
              <w:rPr>
                <w:rFonts w:cs="Arial"/>
                <w:szCs w:val="20"/>
              </w:rPr>
            </w:pPr>
            <w:r w:rsidRPr="00222881">
              <w:rPr>
                <w:rFonts w:cs="Arial"/>
                <w:szCs w:val="20"/>
              </w:rPr>
              <w:t>(Present Value of $7 million)</w:t>
            </w:r>
          </w:p>
        </w:tc>
        <w:tc>
          <w:tcPr>
            <w:tcW w:w="3685" w:type="dxa"/>
            <w:shd w:val="clear" w:color="auto" w:fill="auto"/>
          </w:tcPr>
          <w:p w14:paraId="175E3D18" w14:textId="77777777" w:rsidR="00022915" w:rsidRPr="00BD5687" w:rsidRDefault="00022915" w:rsidP="00C53AB1">
            <w:pPr>
              <w:pStyle w:val="Tabletext0"/>
              <w:widowControl w:val="0"/>
              <w:spacing w:before="60"/>
              <w:rPr>
                <w:rFonts w:cs="Arial"/>
                <w:szCs w:val="20"/>
              </w:rPr>
            </w:pPr>
            <w:r w:rsidRPr="00BD5687">
              <w:rPr>
                <w:rFonts w:cs="Arial"/>
                <w:szCs w:val="20"/>
              </w:rPr>
              <w:t>Government costs associated with the design and administration of the CDS include regulation design and implementation costs, government participation costs, communications costs, and government costs to administer regulations (including compliance and enforcement).</w:t>
            </w:r>
          </w:p>
        </w:tc>
        <w:tc>
          <w:tcPr>
            <w:tcW w:w="3686" w:type="dxa"/>
            <w:shd w:val="clear" w:color="auto" w:fill="auto"/>
          </w:tcPr>
          <w:p w14:paraId="155A90C5" w14:textId="77777777" w:rsidR="00022915" w:rsidRPr="00BD5687" w:rsidRDefault="00022915" w:rsidP="00C53AB1">
            <w:pPr>
              <w:pStyle w:val="Tabletext0"/>
              <w:rPr>
                <w:rFonts w:cs="Arial"/>
                <w:szCs w:val="20"/>
              </w:rPr>
            </w:pPr>
            <w:r w:rsidRPr="00BD5687">
              <w:rPr>
                <w:rFonts w:cs="Arial"/>
                <w:szCs w:val="20"/>
              </w:rPr>
              <w:t>The assumed government scheme design and implementation costs are based on discussions with the</w:t>
            </w:r>
            <w:r>
              <w:rPr>
                <w:rFonts w:cs="Arial"/>
                <w:szCs w:val="20"/>
              </w:rPr>
              <w:t xml:space="preserve"> Western Australian </w:t>
            </w:r>
            <w:r w:rsidRPr="00BD5687">
              <w:rPr>
                <w:rFonts w:cs="Arial"/>
                <w:szCs w:val="20"/>
              </w:rPr>
              <w:t>Government</w:t>
            </w:r>
            <w:r>
              <w:rPr>
                <w:rFonts w:cs="Arial"/>
                <w:szCs w:val="20"/>
              </w:rPr>
              <w:t xml:space="preserve"> and the advisory panel members</w:t>
            </w:r>
            <w:r w:rsidRPr="00BD5687">
              <w:rPr>
                <w:rFonts w:cs="Arial"/>
                <w:szCs w:val="20"/>
              </w:rPr>
              <w:t>.</w:t>
            </w:r>
          </w:p>
        </w:tc>
      </w:tr>
      <w:tr w:rsidR="00022915" w:rsidRPr="00496A85" w14:paraId="69AF531E" w14:textId="77777777" w:rsidTr="00C53AB1">
        <w:trPr>
          <w:cantSplit/>
        </w:trPr>
        <w:tc>
          <w:tcPr>
            <w:tcW w:w="1985" w:type="dxa"/>
            <w:shd w:val="clear" w:color="auto" w:fill="auto"/>
          </w:tcPr>
          <w:p w14:paraId="51E6B2E5" w14:textId="77777777" w:rsidR="00022915" w:rsidRPr="00222881" w:rsidRDefault="00022915" w:rsidP="00C53AB1">
            <w:pPr>
              <w:pStyle w:val="Tabletext0"/>
              <w:widowControl w:val="0"/>
              <w:spacing w:before="60"/>
              <w:rPr>
                <w:rFonts w:cs="Arial"/>
                <w:szCs w:val="20"/>
              </w:rPr>
            </w:pPr>
            <w:r w:rsidRPr="00222881">
              <w:rPr>
                <w:rFonts w:cs="Arial"/>
                <w:szCs w:val="20"/>
              </w:rPr>
              <w:t xml:space="preserve">Scheme administration and coordination </w:t>
            </w:r>
          </w:p>
          <w:p w14:paraId="1A69E033" w14:textId="77777777" w:rsidR="00022915" w:rsidRPr="00222881" w:rsidRDefault="00022915" w:rsidP="00C53AB1">
            <w:pPr>
              <w:pStyle w:val="Tabletext0"/>
              <w:widowControl w:val="0"/>
              <w:spacing w:before="60"/>
              <w:rPr>
                <w:rFonts w:cs="Arial"/>
                <w:szCs w:val="20"/>
              </w:rPr>
            </w:pPr>
            <w:r w:rsidRPr="00222881">
              <w:rPr>
                <w:rFonts w:cs="Arial"/>
                <w:szCs w:val="20"/>
              </w:rPr>
              <w:t>(Present Value of $40 million)</w:t>
            </w:r>
          </w:p>
        </w:tc>
        <w:tc>
          <w:tcPr>
            <w:tcW w:w="3685" w:type="dxa"/>
            <w:shd w:val="clear" w:color="auto" w:fill="auto"/>
          </w:tcPr>
          <w:p w14:paraId="6ACAB24E" w14:textId="77777777" w:rsidR="00022915" w:rsidRPr="00BD5687" w:rsidRDefault="00022915" w:rsidP="00C53AB1">
            <w:pPr>
              <w:pStyle w:val="Tabletext0"/>
              <w:widowControl w:val="0"/>
              <w:spacing w:before="60"/>
              <w:rPr>
                <w:rFonts w:cs="Arial"/>
                <w:szCs w:val="20"/>
              </w:rPr>
            </w:pPr>
            <w:r w:rsidRPr="00BD5687">
              <w:rPr>
                <w:rFonts w:cs="Arial"/>
                <w:szCs w:val="20"/>
              </w:rPr>
              <w:t xml:space="preserve">One scheme coordinator is assumed to </w:t>
            </w:r>
            <w:r w:rsidRPr="00F754B1">
              <w:rPr>
                <w:rFonts w:cs="Arial"/>
                <w:szCs w:val="20"/>
              </w:rPr>
              <w:t>be required to report to the Government on return rates. The coordinator will also manage system efficiency targets; verify collection data from redemption points; and make refund, handling and other payments to the collection network</w:t>
            </w:r>
            <w:r w:rsidRPr="00BD5687">
              <w:rPr>
                <w:rFonts w:cs="Arial"/>
                <w:szCs w:val="20"/>
              </w:rPr>
              <w:t xml:space="preserve"> or network operator and the </w:t>
            </w:r>
            <w:r>
              <w:rPr>
                <w:rFonts w:cs="Arial"/>
                <w:szCs w:val="20"/>
              </w:rPr>
              <w:t>material recovery facility</w:t>
            </w:r>
            <w:r w:rsidRPr="00BD5687">
              <w:rPr>
                <w:rFonts w:cs="Arial"/>
                <w:szCs w:val="20"/>
              </w:rPr>
              <w:t xml:space="preserve"> operator.</w:t>
            </w:r>
          </w:p>
        </w:tc>
        <w:tc>
          <w:tcPr>
            <w:tcW w:w="3686" w:type="dxa"/>
            <w:shd w:val="clear" w:color="auto" w:fill="auto"/>
          </w:tcPr>
          <w:p w14:paraId="7D2759DC" w14:textId="77777777" w:rsidR="00022915" w:rsidRPr="00BD5687" w:rsidRDefault="00022915" w:rsidP="00C53AB1">
            <w:pPr>
              <w:pStyle w:val="Tabletext0"/>
              <w:widowControl w:val="0"/>
              <w:spacing w:before="60"/>
              <w:rPr>
                <w:rFonts w:cs="Arial"/>
                <w:szCs w:val="20"/>
              </w:rPr>
            </w:pPr>
            <w:r w:rsidRPr="00BD5687">
              <w:rPr>
                <w:rFonts w:cs="Arial"/>
                <w:szCs w:val="20"/>
              </w:rPr>
              <w:t>Estimates are based on information provided by the</w:t>
            </w:r>
            <w:r>
              <w:rPr>
                <w:rFonts w:cs="Arial"/>
                <w:szCs w:val="20"/>
              </w:rPr>
              <w:t xml:space="preserve"> Western Australian </w:t>
            </w:r>
            <w:r w:rsidRPr="00BD5687">
              <w:rPr>
                <w:rFonts w:cs="Arial"/>
                <w:szCs w:val="20"/>
              </w:rPr>
              <w:t>Government and the beverage industry.</w:t>
            </w:r>
          </w:p>
        </w:tc>
      </w:tr>
      <w:tr w:rsidR="00022915" w:rsidRPr="00496A85" w14:paraId="239F9B84" w14:textId="77777777" w:rsidTr="00C53AB1">
        <w:trPr>
          <w:cantSplit/>
        </w:trPr>
        <w:tc>
          <w:tcPr>
            <w:tcW w:w="1985" w:type="dxa"/>
            <w:shd w:val="clear" w:color="auto" w:fill="auto"/>
          </w:tcPr>
          <w:p w14:paraId="06148C08" w14:textId="77777777" w:rsidR="00022915" w:rsidRPr="00222881" w:rsidRDefault="00022915" w:rsidP="00C53AB1">
            <w:pPr>
              <w:pStyle w:val="Tabletext0"/>
              <w:widowControl w:val="0"/>
              <w:spacing w:before="60"/>
              <w:rPr>
                <w:rFonts w:cs="Arial"/>
                <w:szCs w:val="20"/>
              </w:rPr>
            </w:pPr>
            <w:r w:rsidRPr="00222881">
              <w:rPr>
                <w:rFonts w:cs="Arial"/>
                <w:szCs w:val="20"/>
              </w:rPr>
              <w:t>Business compliance costs—beverage industry</w:t>
            </w:r>
          </w:p>
          <w:p w14:paraId="5D4CB21F" w14:textId="77777777" w:rsidR="00022915" w:rsidRPr="00222881" w:rsidRDefault="00022915" w:rsidP="00C53AB1">
            <w:pPr>
              <w:pStyle w:val="Tabletext0"/>
              <w:widowControl w:val="0"/>
              <w:spacing w:before="60"/>
              <w:rPr>
                <w:rFonts w:cs="Arial"/>
                <w:szCs w:val="20"/>
              </w:rPr>
            </w:pPr>
            <w:r w:rsidRPr="00222881">
              <w:rPr>
                <w:rFonts w:cs="Arial"/>
                <w:szCs w:val="20"/>
              </w:rPr>
              <w:t>(Present Value of $5 million)</w:t>
            </w:r>
          </w:p>
        </w:tc>
        <w:tc>
          <w:tcPr>
            <w:tcW w:w="3685" w:type="dxa"/>
            <w:shd w:val="clear" w:color="auto" w:fill="auto"/>
          </w:tcPr>
          <w:p w14:paraId="625A3756" w14:textId="77777777" w:rsidR="00022915" w:rsidRPr="00BD5687" w:rsidRDefault="00022915" w:rsidP="00C53AB1">
            <w:pPr>
              <w:pStyle w:val="Tabletext0"/>
              <w:widowControl w:val="0"/>
              <w:spacing w:before="60"/>
              <w:rPr>
                <w:rFonts w:cs="Arial"/>
                <w:szCs w:val="20"/>
              </w:rPr>
            </w:pPr>
            <w:r w:rsidRPr="00BD5687">
              <w:rPr>
                <w:rFonts w:cs="Arial"/>
                <w:szCs w:val="20"/>
              </w:rPr>
              <w:t xml:space="preserve">Business compliance costs are limited to reporting and any contractual arrangements with the scheme coordinator. </w:t>
            </w:r>
            <w:r>
              <w:rPr>
                <w:rFonts w:cs="Arial"/>
                <w:szCs w:val="20"/>
              </w:rPr>
              <w:t>Minimal</w:t>
            </w:r>
            <w:r w:rsidRPr="00BD5687">
              <w:rPr>
                <w:rFonts w:cs="Arial"/>
                <w:szCs w:val="20"/>
              </w:rPr>
              <w:t xml:space="preserve"> additional burden is </w:t>
            </w:r>
            <w:r>
              <w:rPr>
                <w:rFonts w:cs="Arial"/>
                <w:szCs w:val="20"/>
              </w:rPr>
              <w:t xml:space="preserve">assumed to </w:t>
            </w:r>
            <w:r w:rsidRPr="00BD5687">
              <w:rPr>
                <w:rFonts w:cs="Arial"/>
                <w:szCs w:val="20"/>
              </w:rPr>
              <w:t xml:space="preserve">be imposed by </w:t>
            </w:r>
            <w:r>
              <w:rPr>
                <w:rFonts w:cs="Arial"/>
                <w:szCs w:val="20"/>
              </w:rPr>
              <w:t xml:space="preserve">the Western Australian Government </w:t>
            </w:r>
            <w:r w:rsidRPr="00BD5687">
              <w:rPr>
                <w:rFonts w:cs="Arial"/>
                <w:szCs w:val="20"/>
              </w:rPr>
              <w:t xml:space="preserve">beyond arrangements of other states’ CDS. </w:t>
            </w:r>
          </w:p>
        </w:tc>
        <w:tc>
          <w:tcPr>
            <w:tcW w:w="3686" w:type="dxa"/>
            <w:shd w:val="clear" w:color="auto" w:fill="auto"/>
          </w:tcPr>
          <w:p w14:paraId="3A09C38C" w14:textId="77777777" w:rsidR="00022915" w:rsidRPr="00BD5687" w:rsidRDefault="00022915" w:rsidP="00C53AB1">
            <w:pPr>
              <w:pStyle w:val="Tabletext0"/>
              <w:widowControl w:val="0"/>
              <w:spacing w:before="60"/>
              <w:rPr>
                <w:rFonts w:cs="Arial"/>
                <w:szCs w:val="20"/>
              </w:rPr>
            </w:pPr>
            <w:r w:rsidRPr="00BD5687">
              <w:rPr>
                <w:rFonts w:cs="Arial"/>
                <w:szCs w:val="20"/>
              </w:rPr>
              <w:t xml:space="preserve">Estimates are based on analysis </w:t>
            </w:r>
            <w:r>
              <w:rPr>
                <w:rFonts w:cs="Arial"/>
                <w:szCs w:val="20"/>
              </w:rPr>
              <w:t xml:space="preserve">by </w:t>
            </w:r>
            <w:r w:rsidRPr="00BD5687">
              <w:rPr>
                <w:rFonts w:cs="Arial"/>
                <w:szCs w:val="20"/>
              </w:rPr>
              <w:t xml:space="preserve">Marsden Jacob </w:t>
            </w:r>
            <w:r>
              <w:rPr>
                <w:rFonts w:cs="Arial"/>
                <w:szCs w:val="20"/>
              </w:rPr>
              <w:t xml:space="preserve">Associates </w:t>
            </w:r>
          </w:p>
        </w:tc>
      </w:tr>
      <w:tr w:rsidR="00022915" w:rsidRPr="00496A85" w14:paraId="281C8CCC" w14:textId="77777777" w:rsidTr="00C53AB1">
        <w:trPr>
          <w:cantSplit/>
        </w:trPr>
        <w:tc>
          <w:tcPr>
            <w:tcW w:w="1985" w:type="dxa"/>
            <w:shd w:val="clear" w:color="auto" w:fill="auto"/>
          </w:tcPr>
          <w:p w14:paraId="3D1DDFA2" w14:textId="77777777" w:rsidR="00022915" w:rsidRPr="00222881" w:rsidRDefault="00022915" w:rsidP="00C53AB1">
            <w:pPr>
              <w:pStyle w:val="Tabletext0"/>
              <w:widowControl w:val="0"/>
              <w:spacing w:before="60"/>
              <w:rPr>
                <w:rFonts w:cs="Arial"/>
                <w:szCs w:val="20"/>
              </w:rPr>
            </w:pPr>
            <w:r w:rsidRPr="00222881">
              <w:rPr>
                <w:rFonts w:cs="Arial"/>
                <w:szCs w:val="20"/>
              </w:rPr>
              <w:t>Household participation</w:t>
            </w:r>
          </w:p>
          <w:p w14:paraId="3E192B09" w14:textId="77777777" w:rsidR="00022915" w:rsidRPr="00222881" w:rsidRDefault="00022915" w:rsidP="00C53AB1">
            <w:pPr>
              <w:pStyle w:val="Tabletext0"/>
              <w:widowControl w:val="0"/>
              <w:spacing w:before="60"/>
              <w:rPr>
                <w:rFonts w:cs="Arial"/>
                <w:szCs w:val="20"/>
              </w:rPr>
            </w:pPr>
            <w:r w:rsidRPr="00222881">
              <w:rPr>
                <w:rFonts w:cs="Arial"/>
                <w:szCs w:val="20"/>
              </w:rPr>
              <w:t>(Present Value of $58 million)</w:t>
            </w:r>
          </w:p>
        </w:tc>
        <w:tc>
          <w:tcPr>
            <w:tcW w:w="3685" w:type="dxa"/>
            <w:shd w:val="clear" w:color="auto" w:fill="auto"/>
          </w:tcPr>
          <w:p w14:paraId="6694C24C" w14:textId="77777777" w:rsidR="00022915" w:rsidRPr="00BD5687" w:rsidRDefault="00022915" w:rsidP="00C53AB1">
            <w:pPr>
              <w:pStyle w:val="Tabletext0"/>
              <w:widowControl w:val="0"/>
              <w:spacing w:before="60"/>
              <w:rPr>
                <w:rFonts w:cs="Arial"/>
                <w:szCs w:val="20"/>
              </w:rPr>
            </w:pPr>
            <w:r w:rsidRPr="00BD5687">
              <w:rPr>
                <w:rFonts w:cs="Arial"/>
                <w:szCs w:val="20"/>
              </w:rPr>
              <w:t>Households face participation costs due to the time it takes to transport beverage containers</w:t>
            </w:r>
            <w:r w:rsidRPr="00BD5687" w:rsidDel="00FD2984">
              <w:rPr>
                <w:rFonts w:cs="Arial"/>
                <w:szCs w:val="20"/>
              </w:rPr>
              <w:t xml:space="preserve"> </w:t>
            </w:r>
            <w:r w:rsidRPr="00BD5687">
              <w:rPr>
                <w:rFonts w:cs="Arial"/>
                <w:szCs w:val="20"/>
              </w:rPr>
              <w:t xml:space="preserve">to </w:t>
            </w:r>
            <w:r>
              <w:rPr>
                <w:rFonts w:cs="Arial"/>
                <w:szCs w:val="20"/>
              </w:rPr>
              <w:t>refund</w:t>
            </w:r>
            <w:r w:rsidRPr="00BD5687">
              <w:rPr>
                <w:rFonts w:cs="Arial"/>
                <w:szCs w:val="20"/>
              </w:rPr>
              <w:t xml:space="preserve"> points</w:t>
            </w:r>
            <w:r>
              <w:rPr>
                <w:rFonts w:cs="Arial"/>
                <w:szCs w:val="20"/>
              </w:rPr>
              <w:t xml:space="preserve"> and process the container</w:t>
            </w:r>
            <w:r w:rsidRPr="00BD5687">
              <w:rPr>
                <w:rFonts w:cs="Arial"/>
                <w:szCs w:val="20"/>
              </w:rPr>
              <w:t>.</w:t>
            </w:r>
          </w:p>
          <w:p w14:paraId="73EEC921" w14:textId="77777777" w:rsidR="00022915" w:rsidRPr="00BD5687" w:rsidRDefault="00022915" w:rsidP="00C53AB1">
            <w:pPr>
              <w:pStyle w:val="Tabletext0"/>
              <w:widowControl w:val="0"/>
              <w:spacing w:before="60"/>
              <w:rPr>
                <w:rFonts w:cs="Arial"/>
                <w:szCs w:val="20"/>
              </w:rPr>
            </w:pPr>
            <w:r w:rsidRPr="00BD5687">
              <w:rPr>
                <w:rFonts w:cs="Arial"/>
                <w:szCs w:val="20"/>
              </w:rPr>
              <w:t xml:space="preserve">The material flow analysis used in the </w:t>
            </w:r>
            <w:r>
              <w:t xml:space="preserve">cost-benefit </w:t>
            </w:r>
            <w:r>
              <w:rPr>
                <w:rFonts w:cs="Arial"/>
                <w:szCs w:val="20"/>
              </w:rPr>
              <w:t>analysis</w:t>
            </w:r>
            <w:r w:rsidRPr="00BD5687">
              <w:rPr>
                <w:rFonts w:cs="Arial"/>
                <w:szCs w:val="20"/>
              </w:rPr>
              <w:t xml:space="preserve"> assumes that </w:t>
            </w:r>
            <w:r>
              <w:rPr>
                <w:rFonts w:cs="Arial"/>
                <w:szCs w:val="20"/>
              </w:rPr>
              <w:t>five per cent</w:t>
            </w:r>
            <w:r w:rsidRPr="00BD5687">
              <w:rPr>
                <w:rFonts w:cs="Arial"/>
                <w:szCs w:val="20"/>
              </w:rPr>
              <w:t xml:space="preserve"> of containers that are consumed at home are diverted from kerbside recycling at the start of the scheme and that this proportion increases to 40</w:t>
            </w:r>
            <w:r>
              <w:rPr>
                <w:rFonts w:cs="Arial"/>
                <w:szCs w:val="20"/>
              </w:rPr>
              <w:t xml:space="preserve"> per cent</w:t>
            </w:r>
            <w:r w:rsidRPr="00421D13">
              <w:rPr>
                <w:rFonts w:cs="Arial"/>
                <w:szCs w:val="20"/>
              </w:rPr>
              <w:t xml:space="preserve"> </w:t>
            </w:r>
            <w:r w:rsidRPr="00BD5687">
              <w:rPr>
                <w:rFonts w:cs="Arial"/>
                <w:szCs w:val="20"/>
              </w:rPr>
              <w:t>by the end of the scheme.</w:t>
            </w:r>
          </w:p>
          <w:p w14:paraId="2AA6E9EE" w14:textId="77777777" w:rsidR="00022915" w:rsidRPr="00BD5687" w:rsidRDefault="00022915" w:rsidP="00C53AB1">
            <w:pPr>
              <w:pStyle w:val="Tabletext0"/>
              <w:widowControl w:val="0"/>
              <w:spacing w:before="60"/>
              <w:rPr>
                <w:rFonts w:cs="Arial"/>
                <w:szCs w:val="20"/>
              </w:rPr>
            </w:pPr>
            <w:r w:rsidRPr="00BD5687">
              <w:rPr>
                <w:rFonts w:cs="Arial"/>
                <w:szCs w:val="20"/>
              </w:rPr>
              <w:t>Cost categories include vehicle operating costs, in-vehicle travel time and container deposit redemption time. The time is costed at $30 per hour.</w:t>
            </w:r>
          </w:p>
          <w:p w14:paraId="60691B83" w14:textId="77777777" w:rsidR="00022915" w:rsidRPr="00BD5687" w:rsidRDefault="00022915" w:rsidP="00C53AB1">
            <w:pPr>
              <w:pStyle w:val="Tabletext0"/>
              <w:widowControl w:val="0"/>
              <w:spacing w:before="60"/>
              <w:rPr>
                <w:rFonts w:cs="Arial"/>
                <w:szCs w:val="20"/>
                <w:highlight w:val="yellow"/>
              </w:rPr>
            </w:pPr>
            <w:r w:rsidRPr="00BD5687">
              <w:rPr>
                <w:rFonts w:cs="Arial"/>
                <w:szCs w:val="20"/>
              </w:rPr>
              <w:t>Households are already involved in current waste management practices, so the accumulation time spent collecting empty containers is assumed to be nil.</w:t>
            </w:r>
          </w:p>
        </w:tc>
        <w:tc>
          <w:tcPr>
            <w:tcW w:w="3686" w:type="dxa"/>
            <w:shd w:val="clear" w:color="auto" w:fill="auto"/>
          </w:tcPr>
          <w:p w14:paraId="3B515871" w14:textId="77777777" w:rsidR="00022915" w:rsidRPr="00BD5687" w:rsidRDefault="00022915" w:rsidP="00C53AB1">
            <w:pPr>
              <w:pStyle w:val="Tabletext0"/>
              <w:widowControl w:val="0"/>
              <w:spacing w:before="60"/>
              <w:rPr>
                <w:rFonts w:cs="Arial"/>
                <w:szCs w:val="20"/>
              </w:rPr>
            </w:pPr>
            <w:r w:rsidRPr="00BD5687">
              <w:rPr>
                <w:rFonts w:cs="Arial"/>
                <w:szCs w:val="20"/>
              </w:rPr>
              <w:t xml:space="preserve">Value of time is based on NSW LLS (Local Land Services), </w:t>
            </w:r>
            <w:r w:rsidRPr="00BD5687">
              <w:rPr>
                <w:rFonts w:cs="Arial"/>
                <w:i/>
                <w:szCs w:val="20"/>
              </w:rPr>
              <w:t>Volunteer Co</w:t>
            </w:r>
            <w:r>
              <w:rPr>
                <w:rFonts w:cs="Arial"/>
                <w:i/>
                <w:szCs w:val="20"/>
              </w:rPr>
              <w:noBreakHyphen/>
            </w:r>
            <w:r w:rsidRPr="00BD5687">
              <w:rPr>
                <w:rFonts w:cs="Arial"/>
                <w:i/>
                <w:szCs w:val="20"/>
              </w:rPr>
              <w:t>ordinators Network manual: a</w:t>
            </w:r>
            <w:r>
              <w:rPr>
                <w:rFonts w:cs="Arial"/>
                <w:i/>
                <w:szCs w:val="20"/>
              </w:rPr>
              <w:t> </w:t>
            </w:r>
            <w:r w:rsidRPr="00BD5687">
              <w:rPr>
                <w:rFonts w:cs="Arial"/>
                <w:i/>
                <w:szCs w:val="20"/>
              </w:rPr>
              <w:t>guide for managing environmental volunteer programs</w:t>
            </w:r>
            <w:r w:rsidRPr="00BD5687">
              <w:rPr>
                <w:rFonts w:cs="Arial"/>
                <w:szCs w:val="20"/>
              </w:rPr>
              <w:t>, 4th edition, NSW Local Land Services, Greater Sydney, Penrith Westfield NSW (2015).</w:t>
            </w:r>
          </w:p>
          <w:p w14:paraId="3ABAB773" w14:textId="77777777" w:rsidR="00022915" w:rsidRPr="00BD5687" w:rsidRDefault="00022915" w:rsidP="00C53AB1">
            <w:pPr>
              <w:pStyle w:val="Tabletext0"/>
              <w:widowControl w:val="0"/>
              <w:spacing w:before="60"/>
              <w:rPr>
                <w:rFonts w:cs="Arial"/>
                <w:szCs w:val="20"/>
              </w:rPr>
            </w:pPr>
            <w:r w:rsidRPr="00BD5687">
              <w:rPr>
                <w:rFonts w:cs="Arial"/>
                <w:szCs w:val="20"/>
              </w:rPr>
              <w:t xml:space="preserve">Vehicle operating costs and vehicle travel time are based on Transport for NSW guidelines; Nolan-ITU, </w:t>
            </w:r>
            <w:r w:rsidRPr="00BD5687">
              <w:rPr>
                <w:rFonts w:cs="Arial"/>
                <w:i/>
                <w:szCs w:val="20"/>
              </w:rPr>
              <w:t>Victorian CDL financial impact analysis</w:t>
            </w:r>
            <w:r w:rsidRPr="00BD5687">
              <w:rPr>
                <w:rFonts w:cs="Arial"/>
                <w:szCs w:val="20"/>
              </w:rPr>
              <w:t>, EPA Victoria, Southbank, Victoria;</w:t>
            </w:r>
            <w:r w:rsidRPr="00BD5687" w:rsidDel="003F2275">
              <w:rPr>
                <w:rFonts w:cs="Arial"/>
                <w:szCs w:val="20"/>
              </w:rPr>
              <w:t xml:space="preserve"> </w:t>
            </w:r>
            <w:r w:rsidRPr="00BD5687">
              <w:rPr>
                <w:rFonts w:cs="Arial"/>
                <w:szCs w:val="20"/>
              </w:rPr>
              <w:t xml:space="preserve">2003 and ISF–UTS (Institute for Sustainable Futures and University of Technology Sydney), </w:t>
            </w:r>
            <w:r w:rsidRPr="00BD5687">
              <w:rPr>
                <w:rFonts w:cs="Arial"/>
                <w:i/>
                <w:szCs w:val="20"/>
              </w:rPr>
              <w:t>Independent review of container deposit legislation in NSW</w:t>
            </w:r>
            <w:r w:rsidRPr="00BD5687">
              <w:rPr>
                <w:rFonts w:cs="Arial"/>
                <w:szCs w:val="20"/>
              </w:rPr>
              <w:t>, prepared for the Minister for the Environment, NSW, 2001.</w:t>
            </w:r>
          </w:p>
        </w:tc>
      </w:tr>
      <w:tr w:rsidR="00022915" w:rsidRPr="00496A85" w14:paraId="5716F757" w14:textId="77777777" w:rsidTr="00C53AB1">
        <w:trPr>
          <w:cantSplit/>
        </w:trPr>
        <w:tc>
          <w:tcPr>
            <w:tcW w:w="1985" w:type="dxa"/>
            <w:shd w:val="clear" w:color="auto" w:fill="auto"/>
          </w:tcPr>
          <w:p w14:paraId="6A5235AA" w14:textId="77777777" w:rsidR="00022915" w:rsidRPr="00222881" w:rsidRDefault="00022915" w:rsidP="00C53AB1">
            <w:pPr>
              <w:pStyle w:val="Tabletext0"/>
              <w:widowControl w:val="0"/>
              <w:spacing w:before="60"/>
              <w:rPr>
                <w:rFonts w:cs="Arial"/>
                <w:szCs w:val="20"/>
              </w:rPr>
            </w:pPr>
            <w:r w:rsidRPr="00222881">
              <w:rPr>
                <w:rFonts w:cs="Arial"/>
                <w:szCs w:val="20"/>
              </w:rPr>
              <w:t>Business participation</w:t>
            </w:r>
          </w:p>
          <w:p w14:paraId="6EE1A681" w14:textId="77777777" w:rsidR="00022915" w:rsidRPr="00222881" w:rsidRDefault="00022915" w:rsidP="00C53AB1">
            <w:pPr>
              <w:pStyle w:val="Tabletext0"/>
              <w:widowControl w:val="0"/>
              <w:spacing w:before="60"/>
              <w:rPr>
                <w:rFonts w:cs="Arial"/>
                <w:szCs w:val="20"/>
              </w:rPr>
            </w:pPr>
            <w:r w:rsidRPr="00222881">
              <w:rPr>
                <w:rFonts w:cs="Arial"/>
                <w:szCs w:val="20"/>
              </w:rPr>
              <w:t>(Present Value of $25 million)</w:t>
            </w:r>
          </w:p>
        </w:tc>
        <w:tc>
          <w:tcPr>
            <w:tcW w:w="3685" w:type="dxa"/>
            <w:shd w:val="clear" w:color="auto" w:fill="auto"/>
          </w:tcPr>
          <w:p w14:paraId="61BD8458" w14:textId="77777777" w:rsidR="00022915" w:rsidRPr="00BD5687" w:rsidRDefault="00022915" w:rsidP="00C53AB1">
            <w:pPr>
              <w:pStyle w:val="Tabletext0"/>
              <w:widowControl w:val="0"/>
              <w:spacing w:before="60"/>
              <w:rPr>
                <w:rFonts w:cs="Arial"/>
                <w:szCs w:val="20"/>
              </w:rPr>
            </w:pPr>
            <w:r w:rsidRPr="00BD5687">
              <w:rPr>
                <w:rFonts w:cs="Arial"/>
                <w:szCs w:val="20"/>
              </w:rPr>
              <w:t>Businesses are assumed to incur some costs in accumulating and returning empty beverage containers as part of the scheme.</w:t>
            </w:r>
          </w:p>
          <w:p w14:paraId="3E8B09F2" w14:textId="77777777" w:rsidR="00022915" w:rsidRPr="00BD5687" w:rsidRDefault="00022915" w:rsidP="00C53AB1">
            <w:pPr>
              <w:pStyle w:val="Tabletext0"/>
              <w:widowControl w:val="0"/>
              <w:spacing w:before="60"/>
              <w:rPr>
                <w:rFonts w:cs="Arial"/>
                <w:szCs w:val="20"/>
              </w:rPr>
            </w:pPr>
            <w:r w:rsidRPr="00BD5687">
              <w:rPr>
                <w:rFonts w:cs="Arial"/>
                <w:szCs w:val="20"/>
              </w:rPr>
              <w:t>Business</w:t>
            </w:r>
            <w:r>
              <w:rPr>
                <w:rFonts w:cs="Arial"/>
                <w:szCs w:val="20"/>
              </w:rPr>
              <w:t xml:space="preserve"> and/or </w:t>
            </w:r>
            <w:r w:rsidRPr="00BD5687">
              <w:rPr>
                <w:rFonts w:cs="Arial"/>
                <w:szCs w:val="20"/>
              </w:rPr>
              <w:t>workplace participation costs are defined as costs incurred by employees taking beverage containers to temporary storage infrastructure and cleaners or other staff consolidating this in larger storage infrastructure, such as skip bins.</w:t>
            </w:r>
          </w:p>
          <w:p w14:paraId="77096AEB" w14:textId="77777777" w:rsidR="00022915" w:rsidRPr="00BD5687" w:rsidRDefault="00022915" w:rsidP="00C53AB1">
            <w:pPr>
              <w:pStyle w:val="Tabletext0"/>
              <w:widowControl w:val="0"/>
              <w:spacing w:before="60"/>
              <w:rPr>
                <w:rFonts w:cs="Arial"/>
                <w:szCs w:val="20"/>
              </w:rPr>
            </w:pPr>
            <w:r w:rsidRPr="00BD5687">
              <w:rPr>
                <w:rFonts w:cs="Arial"/>
                <w:szCs w:val="20"/>
              </w:rPr>
              <w:t>Additional cleaner costs are assumed for businesses with a turnover of more than $2 million per annum.</w:t>
            </w:r>
          </w:p>
        </w:tc>
        <w:tc>
          <w:tcPr>
            <w:tcW w:w="3686" w:type="dxa"/>
            <w:shd w:val="clear" w:color="auto" w:fill="auto"/>
          </w:tcPr>
          <w:p w14:paraId="3F57A9B0" w14:textId="77777777" w:rsidR="00022915" w:rsidRPr="00BD5687" w:rsidRDefault="00022915" w:rsidP="00C53AB1">
            <w:pPr>
              <w:pStyle w:val="Tabletext0"/>
              <w:widowControl w:val="0"/>
              <w:spacing w:before="60"/>
              <w:rPr>
                <w:rFonts w:cs="Arial"/>
                <w:szCs w:val="20"/>
              </w:rPr>
            </w:pPr>
            <w:r w:rsidRPr="00BD5687">
              <w:rPr>
                <w:rFonts w:cs="Arial"/>
                <w:szCs w:val="20"/>
              </w:rPr>
              <w:t xml:space="preserve">Number of commercial businesses is based on Australian Bureau of Statistics (ABS), </w:t>
            </w:r>
            <w:r w:rsidRPr="00BD5687">
              <w:rPr>
                <w:rFonts w:cs="Arial"/>
                <w:i/>
                <w:szCs w:val="20"/>
              </w:rPr>
              <w:t>Count of Australian businesses</w:t>
            </w:r>
            <w:r w:rsidRPr="00BD5687">
              <w:rPr>
                <w:rFonts w:cs="Arial"/>
                <w:szCs w:val="20"/>
              </w:rPr>
              <w:t>, cat no. 8165, ABS, Canberra, 2017.</w:t>
            </w:r>
          </w:p>
          <w:p w14:paraId="2115A992" w14:textId="77777777" w:rsidR="00022915" w:rsidRPr="00BD5687" w:rsidRDefault="00022915" w:rsidP="00C53AB1">
            <w:pPr>
              <w:pStyle w:val="Tabletext0"/>
              <w:widowControl w:val="0"/>
              <w:spacing w:before="60"/>
              <w:rPr>
                <w:rFonts w:cs="Arial"/>
                <w:szCs w:val="20"/>
              </w:rPr>
            </w:pPr>
            <w:r w:rsidRPr="00BD5687">
              <w:rPr>
                <w:rFonts w:cs="Arial"/>
                <w:szCs w:val="20"/>
              </w:rPr>
              <w:t xml:space="preserve">Value of time for cleaners and costs for trips to transfer containers are based on previous analysis: MJA (Marsden Jacob Associates), </w:t>
            </w:r>
            <w:r w:rsidRPr="00BD5687">
              <w:rPr>
                <w:rFonts w:cs="Arial"/>
                <w:i/>
                <w:szCs w:val="20"/>
              </w:rPr>
              <w:t>Distributional and cost benefit analysis for the Packaging Impacts Decision Regulation Impact Statement: data assumptions</w:t>
            </w:r>
            <w:r w:rsidRPr="00BD5687">
              <w:rPr>
                <w:rFonts w:cs="Arial"/>
                <w:szCs w:val="20"/>
              </w:rPr>
              <w:t xml:space="preserve">, Attachment K to the </w:t>
            </w:r>
            <w:r w:rsidRPr="00BD5687">
              <w:rPr>
                <w:rFonts w:cs="Arial"/>
                <w:i/>
                <w:szCs w:val="20"/>
              </w:rPr>
              <w:t>Packaging Impacts Decision Regulation Impact Statement</w:t>
            </w:r>
            <w:r w:rsidRPr="00BD5687">
              <w:rPr>
                <w:rFonts w:cs="Arial"/>
                <w:szCs w:val="20"/>
              </w:rPr>
              <w:t>, Marsden Jacob Associates, Melbourne, 2013.</w:t>
            </w:r>
          </w:p>
        </w:tc>
      </w:tr>
      <w:tr w:rsidR="00022915" w:rsidRPr="00496A85" w14:paraId="318C664F" w14:textId="77777777" w:rsidTr="00C53AB1">
        <w:trPr>
          <w:cantSplit/>
        </w:trPr>
        <w:tc>
          <w:tcPr>
            <w:tcW w:w="1985" w:type="dxa"/>
            <w:shd w:val="clear" w:color="auto" w:fill="auto"/>
          </w:tcPr>
          <w:p w14:paraId="271BB261" w14:textId="77777777" w:rsidR="00022915" w:rsidRPr="00222881" w:rsidRDefault="00022915" w:rsidP="00C53AB1">
            <w:pPr>
              <w:pStyle w:val="Tabletext0"/>
              <w:widowControl w:val="0"/>
              <w:spacing w:before="60"/>
              <w:rPr>
                <w:rFonts w:cs="Arial"/>
                <w:szCs w:val="20"/>
              </w:rPr>
            </w:pPr>
            <w:r w:rsidRPr="00222881">
              <w:rPr>
                <w:rFonts w:cs="Arial"/>
                <w:szCs w:val="20"/>
              </w:rPr>
              <w:t xml:space="preserve">Container redemption infrastructure costs </w:t>
            </w:r>
          </w:p>
          <w:p w14:paraId="6C96EAAF" w14:textId="77777777" w:rsidR="00022915" w:rsidRPr="00222881" w:rsidRDefault="00022915" w:rsidP="00C53AB1">
            <w:pPr>
              <w:pStyle w:val="Tabletext0"/>
              <w:widowControl w:val="0"/>
              <w:spacing w:before="60"/>
              <w:rPr>
                <w:rFonts w:cs="Arial"/>
                <w:szCs w:val="20"/>
              </w:rPr>
            </w:pPr>
            <w:r w:rsidRPr="00222881">
              <w:rPr>
                <w:rFonts w:cs="Arial"/>
                <w:szCs w:val="20"/>
              </w:rPr>
              <w:t>(Present Value of $248 million)</w:t>
            </w:r>
          </w:p>
        </w:tc>
        <w:tc>
          <w:tcPr>
            <w:tcW w:w="3685" w:type="dxa"/>
            <w:shd w:val="clear" w:color="auto" w:fill="auto"/>
          </w:tcPr>
          <w:p w14:paraId="74B6254C" w14:textId="77777777" w:rsidR="00022915" w:rsidRPr="007B71AD" w:rsidRDefault="00022915" w:rsidP="00C53AB1">
            <w:pPr>
              <w:pStyle w:val="Tabletext0"/>
              <w:widowControl w:val="0"/>
              <w:rPr>
                <w:rFonts w:cs="Arial"/>
                <w:szCs w:val="20"/>
              </w:rPr>
            </w:pPr>
            <w:r w:rsidRPr="00FD2984">
              <w:rPr>
                <w:rFonts w:cs="Arial"/>
                <w:szCs w:val="20"/>
              </w:rPr>
              <w:t xml:space="preserve">The analysis assumes that there will be a minimum of </w:t>
            </w:r>
            <w:r>
              <w:rPr>
                <w:rFonts w:cs="Arial"/>
                <w:szCs w:val="20"/>
              </w:rPr>
              <w:t>229</w:t>
            </w:r>
            <w:r w:rsidRPr="007B71AD">
              <w:rPr>
                <w:rFonts w:cs="Arial"/>
                <w:szCs w:val="20"/>
              </w:rPr>
              <w:t xml:space="preserve"> refund points at scheme commencement:</w:t>
            </w:r>
          </w:p>
          <w:p w14:paraId="0AC1B9D7" w14:textId="77777777" w:rsidR="00022915" w:rsidRPr="007B71AD" w:rsidRDefault="00022915" w:rsidP="00C53AB1">
            <w:pPr>
              <w:pStyle w:val="Tablebullets1stindent"/>
            </w:pPr>
            <w:r w:rsidRPr="007B71AD">
              <w:t>1</w:t>
            </w:r>
            <w:r>
              <w:t>14</w:t>
            </w:r>
            <w:r w:rsidRPr="007B71AD">
              <w:t xml:space="preserve"> full time refund points (a mixture of reverse vending machines and manual refund points); and </w:t>
            </w:r>
          </w:p>
          <w:p w14:paraId="45032FDE" w14:textId="77777777" w:rsidR="00022915" w:rsidRPr="007B71AD" w:rsidRDefault="00022915" w:rsidP="00C53AB1">
            <w:pPr>
              <w:pStyle w:val="Tablebullets1stindent"/>
            </w:pPr>
            <w:r>
              <w:t>115</w:t>
            </w:r>
            <w:r w:rsidRPr="007B71AD">
              <w:t xml:space="preserve"> flexible refund points.</w:t>
            </w:r>
          </w:p>
          <w:p w14:paraId="26502B6C" w14:textId="77777777" w:rsidR="00022915" w:rsidRDefault="00022915" w:rsidP="00C53AB1">
            <w:pPr>
              <w:pStyle w:val="Tabletext0"/>
              <w:widowControl w:val="0"/>
              <w:spacing w:before="60"/>
              <w:rPr>
                <w:rFonts w:cs="Arial"/>
                <w:szCs w:val="20"/>
              </w:rPr>
            </w:pPr>
            <w:r w:rsidRPr="00BD5687">
              <w:rPr>
                <w:rFonts w:cs="Arial"/>
                <w:szCs w:val="20"/>
              </w:rPr>
              <w:t>Cost estimates for manual refund points include additional infrastructure required at existing depots (</w:t>
            </w:r>
            <w:r>
              <w:rPr>
                <w:rFonts w:cs="Arial"/>
                <w:szCs w:val="20"/>
              </w:rPr>
              <w:t>for example,</w:t>
            </w:r>
            <w:r w:rsidRPr="00BD5687">
              <w:rPr>
                <w:rFonts w:cs="Arial"/>
                <w:szCs w:val="20"/>
              </w:rPr>
              <w:t xml:space="preserve"> collection cages and </w:t>
            </w:r>
            <w:r>
              <w:rPr>
                <w:rFonts w:cs="Arial"/>
                <w:szCs w:val="20"/>
              </w:rPr>
              <w:t>information</w:t>
            </w:r>
            <w:r w:rsidRPr="00BD5687">
              <w:rPr>
                <w:rFonts w:cs="Arial"/>
                <w:szCs w:val="20"/>
              </w:rPr>
              <w:t xml:space="preserve"> systems) and changes in operating costs. </w:t>
            </w:r>
          </w:p>
          <w:p w14:paraId="6C9E848E" w14:textId="77777777" w:rsidR="00022915" w:rsidRPr="00BD5687" w:rsidRDefault="00022915" w:rsidP="00C53AB1">
            <w:pPr>
              <w:pStyle w:val="Tabletext0"/>
              <w:widowControl w:val="0"/>
              <w:spacing w:before="60"/>
              <w:rPr>
                <w:rFonts w:cs="Arial"/>
                <w:szCs w:val="20"/>
              </w:rPr>
            </w:pPr>
            <w:r w:rsidRPr="00BD5687">
              <w:rPr>
                <w:rFonts w:cs="Arial"/>
                <w:szCs w:val="20"/>
              </w:rPr>
              <w:t xml:space="preserve">The </w:t>
            </w:r>
            <w:r>
              <w:rPr>
                <w:rFonts w:cs="Arial"/>
                <w:szCs w:val="20"/>
              </w:rPr>
              <w:t>reverse vending machines</w:t>
            </w:r>
            <w:r w:rsidRPr="00BD5687">
              <w:rPr>
                <w:rFonts w:cs="Arial"/>
                <w:szCs w:val="20"/>
              </w:rPr>
              <w:t xml:space="preserve"> are all assumed to be installed as new. Capital costs (including for installation), fixed operating costs (computer replacements and vandalism) and variable operating costs (container collection, cleaning and maintenance) are included in the analysis.</w:t>
            </w:r>
          </w:p>
          <w:p w14:paraId="18502FE1" w14:textId="77777777" w:rsidR="00022915" w:rsidRPr="00BD5687" w:rsidRDefault="00022915" w:rsidP="00C53AB1">
            <w:pPr>
              <w:pStyle w:val="Tabletext0"/>
              <w:widowControl w:val="0"/>
              <w:spacing w:before="60"/>
              <w:rPr>
                <w:rFonts w:cs="Arial"/>
                <w:szCs w:val="20"/>
              </w:rPr>
            </w:pPr>
            <w:r w:rsidRPr="00BD5687">
              <w:rPr>
                <w:rFonts w:cs="Arial"/>
                <w:szCs w:val="20"/>
              </w:rPr>
              <w:t xml:space="preserve">The </w:t>
            </w:r>
            <w:r w:rsidRPr="00A53D93">
              <w:rPr>
                <w:rFonts w:cs="Arial"/>
                <w:szCs w:val="20"/>
              </w:rPr>
              <w:t>reverse vending machines</w:t>
            </w:r>
            <w:r w:rsidRPr="00421D13">
              <w:rPr>
                <w:rFonts w:cs="Arial"/>
                <w:szCs w:val="20"/>
              </w:rPr>
              <w:t xml:space="preserve"> </w:t>
            </w:r>
            <w:r w:rsidRPr="00BD5687">
              <w:rPr>
                <w:rFonts w:cs="Arial"/>
                <w:szCs w:val="20"/>
              </w:rPr>
              <w:t xml:space="preserve">are </w:t>
            </w:r>
            <w:r>
              <w:rPr>
                <w:rFonts w:cs="Arial"/>
                <w:szCs w:val="20"/>
              </w:rPr>
              <w:t xml:space="preserve">assumed to be </w:t>
            </w:r>
            <w:r w:rsidRPr="00BD5687">
              <w:rPr>
                <w:rFonts w:cs="Arial"/>
                <w:szCs w:val="20"/>
              </w:rPr>
              <w:t>co</w:t>
            </w:r>
            <w:r>
              <w:rPr>
                <w:rFonts w:cs="Arial"/>
                <w:szCs w:val="20"/>
              </w:rPr>
              <w:noBreakHyphen/>
            </w:r>
            <w:r w:rsidRPr="00BD5687">
              <w:rPr>
                <w:rFonts w:cs="Arial"/>
                <w:szCs w:val="20"/>
              </w:rPr>
              <w:t>located in retail and commercial areas, similarly to standard vending machines, so the redemption throughput does not change in sensitivity tests.</w:t>
            </w:r>
          </w:p>
          <w:p w14:paraId="57497A9E" w14:textId="77777777" w:rsidR="00022915" w:rsidRPr="00BD5687" w:rsidRDefault="00022915" w:rsidP="00C53AB1">
            <w:pPr>
              <w:pStyle w:val="Tabletext0"/>
              <w:widowControl w:val="0"/>
              <w:spacing w:before="60"/>
              <w:rPr>
                <w:rFonts w:cs="Arial"/>
                <w:szCs w:val="20"/>
              </w:rPr>
            </w:pPr>
            <w:r w:rsidRPr="00BD5687">
              <w:rPr>
                <w:rFonts w:cs="Arial"/>
                <w:szCs w:val="20"/>
              </w:rPr>
              <w:t>Cost estimates for flexible refund points include infrastructure (</w:t>
            </w:r>
            <w:r>
              <w:rPr>
                <w:rFonts w:cs="Arial"/>
                <w:szCs w:val="20"/>
              </w:rPr>
              <w:t>for example,</w:t>
            </w:r>
            <w:r w:rsidRPr="00BD5687">
              <w:rPr>
                <w:rFonts w:cs="Arial"/>
                <w:szCs w:val="20"/>
              </w:rPr>
              <w:t xml:space="preserve"> collection cages and </w:t>
            </w:r>
            <w:r>
              <w:rPr>
                <w:rFonts w:cs="Arial"/>
                <w:szCs w:val="20"/>
              </w:rPr>
              <w:t xml:space="preserve">information </w:t>
            </w:r>
            <w:r w:rsidRPr="00BD5687">
              <w:rPr>
                <w:rFonts w:cs="Arial"/>
                <w:szCs w:val="20"/>
              </w:rPr>
              <w:t xml:space="preserve">systems), labour and transport of containers to aggregation points. </w:t>
            </w:r>
          </w:p>
        </w:tc>
        <w:tc>
          <w:tcPr>
            <w:tcW w:w="3686" w:type="dxa"/>
            <w:shd w:val="clear" w:color="auto" w:fill="auto"/>
          </w:tcPr>
          <w:p w14:paraId="38F1DBDC" w14:textId="77777777" w:rsidR="00022915" w:rsidRPr="00BD5687" w:rsidRDefault="00022915" w:rsidP="00C53AB1">
            <w:pPr>
              <w:pStyle w:val="Tabletext0"/>
              <w:widowControl w:val="0"/>
              <w:spacing w:before="60"/>
              <w:rPr>
                <w:rFonts w:cs="Arial"/>
                <w:szCs w:val="20"/>
              </w:rPr>
            </w:pPr>
            <w:r w:rsidRPr="00BD5687">
              <w:rPr>
                <w:rFonts w:cs="Arial"/>
                <w:szCs w:val="20"/>
              </w:rPr>
              <w:t xml:space="preserve">Estimates are based on information provided by </w:t>
            </w:r>
            <w:r>
              <w:rPr>
                <w:rFonts w:cs="Arial"/>
                <w:szCs w:val="20"/>
              </w:rPr>
              <w:t xml:space="preserve">the Western Australian </w:t>
            </w:r>
            <w:r w:rsidRPr="00BD5687">
              <w:rPr>
                <w:rFonts w:cs="Arial"/>
                <w:szCs w:val="20"/>
              </w:rPr>
              <w:t>Government and analysis by Marsden Jacob Associates.</w:t>
            </w:r>
          </w:p>
        </w:tc>
      </w:tr>
      <w:tr w:rsidR="00022915" w:rsidRPr="00496A85" w14:paraId="76C07E7F" w14:textId="77777777" w:rsidTr="00C53AB1">
        <w:trPr>
          <w:cantSplit/>
        </w:trPr>
        <w:tc>
          <w:tcPr>
            <w:tcW w:w="1985" w:type="dxa"/>
            <w:shd w:val="clear" w:color="auto" w:fill="auto"/>
          </w:tcPr>
          <w:p w14:paraId="723DA0F0" w14:textId="77777777" w:rsidR="00022915" w:rsidRPr="00222881" w:rsidRDefault="00022915" w:rsidP="00C53AB1">
            <w:pPr>
              <w:pStyle w:val="Tabletext0"/>
              <w:widowControl w:val="0"/>
              <w:spacing w:before="60"/>
              <w:rPr>
                <w:rFonts w:cs="Arial"/>
                <w:szCs w:val="20"/>
              </w:rPr>
            </w:pPr>
            <w:r w:rsidRPr="00222881">
              <w:rPr>
                <w:rFonts w:cs="Arial"/>
                <w:szCs w:val="20"/>
              </w:rPr>
              <w:t>Container processing and transport cost</w:t>
            </w:r>
          </w:p>
          <w:p w14:paraId="415418E3" w14:textId="77777777" w:rsidR="00022915" w:rsidRPr="00222881" w:rsidRDefault="00022915" w:rsidP="00C53AB1">
            <w:pPr>
              <w:pStyle w:val="Tabletext0"/>
              <w:widowControl w:val="0"/>
              <w:spacing w:before="60"/>
              <w:rPr>
                <w:rFonts w:cs="Arial"/>
                <w:szCs w:val="20"/>
              </w:rPr>
            </w:pPr>
            <w:r w:rsidRPr="00222881">
              <w:rPr>
                <w:rFonts w:cs="Arial"/>
                <w:szCs w:val="20"/>
              </w:rPr>
              <w:t>(Present Value of $53 million)</w:t>
            </w:r>
          </w:p>
        </w:tc>
        <w:tc>
          <w:tcPr>
            <w:tcW w:w="3685" w:type="dxa"/>
            <w:shd w:val="clear" w:color="auto" w:fill="auto"/>
          </w:tcPr>
          <w:p w14:paraId="524BA67D" w14:textId="77777777" w:rsidR="00022915" w:rsidRPr="00BD5687" w:rsidRDefault="00022915" w:rsidP="00C53AB1">
            <w:pPr>
              <w:pStyle w:val="Tabletext0"/>
              <w:widowControl w:val="0"/>
              <w:rPr>
                <w:rFonts w:cs="Arial"/>
                <w:szCs w:val="20"/>
              </w:rPr>
            </w:pPr>
            <w:r w:rsidRPr="00BD5687">
              <w:rPr>
                <w:rFonts w:cs="Arial"/>
                <w:szCs w:val="20"/>
              </w:rPr>
              <w:t>Processing and transport costs of redeemed containers include additional costs for baling and sorting of containers as well as the transport of containers from refund points to recyclers.</w:t>
            </w:r>
          </w:p>
        </w:tc>
        <w:tc>
          <w:tcPr>
            <w:tcW w:w="3686" w:type="dxa"/>
            <w:shd w:val="clear" w:color="auto" w:fill="auto"/>
          </w:tcPr>
          <w:p w14:paraId="3B3EE413" w14:textId="77777777" w:rsidR="00022915" w:rsidRPr="00BD5687" w:rsidRDefault="00022915" w:rsidP="00C53AB1">
            <w:pPr>
              <w:pStyle w:val="Tabletext0"/>
              <w:widowControl w:val="0"/>
              <w:spacing w:before="60"/>
              <w:rPr>
                <w:rFonts w:cs="Arial"/>
                <w:szCs w:val="20"/>
              </w:rPr>
            </w:pPr>
            <w:r w:rsidRPr="00BD5687">
              <w:rPr>
                <w:rFonts w:cs="Arial"/>
                <w:szCs w:val="20"/>
              </w:rPr>
              <w:t>Estimates are based on information provided by the</w:t>
            </w:r>
            <w:r>
              <w:rPr>
                <w:rFonts w:cs="Arial"/>
                <w:szCs w:val="20"/>
              </w:rPr>
              <w:t xml:space="preserve"> Western Australian </w:t>
            </w:r>
            <w:r w:rsidRPr="00BD5687">
              <w:rPr>
                <w:rFonts w:cs="Arial"/>
                <w:szCs w:val="20"/>
              </w:rPr>
              <w:t>Government and analysis by Marsden</w:t>
            </w:r>
            <w:r>
              <w:rPr>
                <w:rFonts w:cs="Arial"/>
                <w:szCs w:val="20"/>
              </w:rPr>
              <w:t> </w:t>
            </w:r>
            <w:r w:rsidRPr="00BD5687">
              <w:rPr>
                <w:rFonts w:cs="Arial"/>
                <w:szCs w:val="20"/>
              </w:rPr>
              <w:t>Jacob Associates.</w:t>
            </w:r>
          </w:p>
        </w:tc>
      </w:tr>
    </w:tbl>
    <w:p w14:paraId="51C1C6EC" w14:textId="77777777" w:rsidR="00022915" w:rsidRDefault="00022915" w:rsidP="00022915">
      <w:pPr>
        <w:pStyle w:val="Heading3"/>
      </w:pPr>
      <w:r>
        <w:t>Benefit assumptions</w:t>
      </w:r>
    </w:p>
    <w:p w14:paraId="11F91E15" w14:textId="77777777" w:rsidR="00022915" w:rsidRPr="004B5246" w:rsidRDefault="00022915" w:rsidP="00022915">
      <w:r>
        <w:fldChar w:fldCharType="begin"/>
      </w:r>
      <w:r>
        <w:instrText xml:space="preserve"> REF _Ref510616990 \h </w:instrText>
      </w:r>
      <w:r>
        <w:fldChar w:fldCharType="separate"/>
      </w:r>
      <w:r>
        <w:t>T</w:t>
      </w:r>
      <w:r w:rsidRPr="00F56BEA">
        <w:t xml:space="preserve">able </w:t>
      </w:r>
      <w:r>
        <w:rPr>
          <w:noProof/>
        </w:rPr>
        <w:t>18</w:t>
      </w:r>
      <w:r>
        <w:fldChar w:fldCharType="end"/>
      </w:r>
      <w:r>
        <w:t xml:space="preserve"> </w:t>
      </w:r>
      <w:r w:rsidRPr="00E407A5">
        <w:t>provides a brief description</w:t>
      </w:r>
      <w:r>
        <w:t xml:space="preserve"> and discussion</w:t>
      </w:r>
      <w:r w:rsidRPr="00E407A5">
        <w:t xml:space="preserve"> of each benefit item, with reference to underpinning assumptions</w:t>
      </w:r>
    </w:p>
    <w:p w14:paraId="1D03D702" w14:textId="77777777" w:rsidR="00022915" w:rsidRPr="00F56BEA" w:rsidRDefault="00022915" w:rsidP="00022915">
      <w:pPr>
        <w:pStyle w:val="Caption"/>
        <w:keepNext w:val="0"/>
        <w:keepLines w:val="0"/>
      </w:pPr>
      <w:bookmarkStart w:id="236" w:name="_Ref510616990"/>
      <w:bookmarkStart w:id="237" w:name="_Toc10031227"/>
      <w:r>
        <w:t>T</w:t>
      </w:r>
      <w:r w:rsidRPr="00F56BEA">
        <w:t xml:space="preserve">able </w:t>
      </w:r>
      <w:r w:rsidR="00CF34D3">
        <w:rPr>
          <w:noProof/>
        </w:rPr>
        <w:fldChar w:fldCharType="begin"/>
      </w:r>
      <w:r w:rsidR="00CF34D3">
        <w:rPr>
          <w:noProof/>
        </w:rPr>
        <w:instrText xml:space="preserve"> SEQ Table \* ARABIC </w:instrText>
      </w:r>
      <w:r w:rsidR="00CF34D3">
        <w:rPr>
          <w:noProof/>
        </w:rPr>
        <w:fldChar w:fldCharType="separate"/>
      </w:r>
      <w:r>
        <w:rPr>
          <w:noProof/>
        </w:rPr>
        <w:t>18</w:t>
      </w:r>
      <w:r w:rsidR="00CF34D3">
        <w:rPr>
          <w:noProof/>
        </w:rPr>
        <w:fldChar w:fldCharType="end"/>
      </w:r>
      <w:bookmarkEnd w:id="236"/>
      <w:r w:rsidRPr="00F56BEA">
        <w:t>: Description of benefit assumptions</w:t>
      </w:r>
      <w:bookmarkEnd w:id="237"/>
    </w:p>
    <w:tbl>
      <w:tblPr>
        <w:tblStyle w:val="TableGrid"/>
        <w:tblW w:w="9072" w:type="dxa"/>
        <w:tblLayout w:type="fixed"/>
        <w:tblLook w:val="04A0" w:firstRow="1" w:lastRow="0" w:firstColumn="1" w:lastColumn="0" w:noHBand="0" w:noVBand="1"/>
        <w:tblCaption w:val="Description of benefit assumptions"/>
        <w:tblDescription w:val="Summary of the assumptions used in the development of the economic model and the basis for each estimate."/>
      </w:tblPr>
      <w:tblGrid>
        <w:gridCol w:w="1701"/>
        <w:gridCol w:w="4536"/>
        <w:gridCol w:w="2835"/>
      </w:tblGrid>
      <w:tr w:rsidR="00022915" w:rsidRPr="003F7EB0" w14:paraId="0D938F74" w14:textId="77777777" w:rsidTr="00C53AB1">
        <w:trPr>
          <w:tblHeader/>
        </w:trPr>
        <w:tc>
          <w:tcPr>
            <w:tcW w:w="1701" w:type="dxa"/>
          </w:tcPr>
          <w:p w14:paraId="375C373A" w14:textId="77777777" w:rsidR="00022915" w:rsidRPr="00DA7A26" w:rsidRDefault="00022915" w:rsidP="00C53AB1">
            <w:pPr>
              <w:pStyle w:val="Tableheading0"/>
              <w:keepNext w:val="0"/>
            </w:pPr>
            <w:r w:rsidRPr="00DA7A26">
              <w:t>Type</w:t>
            </w:r>
          </w:p>
        </w:tc>
        <w:tc>
          <w:tcPr>
            <w:tcW w:w="4536" w:type="dxa"/>
          </w:tcPr>
          <w:p w14:paraId="67BF7B31" w14:textId="77777777" w:rsidR="00022915" w:rsidRPr="00DA7A26" w:rsidRDefault="00022915" w:rsidP="00C53AB1">
            <w:pPr>
              <w:pStyle w:val="Tableheading0"/>
            </w:pPr>
            <w:r w:rsidRPr="00DA7A26">
              <w:t>Description of item</w:t>
            </w:r>
          </w:p>
        </w:tc>
        <w:tc>
          <w:tcPr>
            <w:tcW w:w="2835" w:type="dxa"/>
          </w:tcPr>
          <w:p w14:paraId="37E5FFD0" w14:textId="77777777" w:rsidR="00022915" w:rsidRPr="00DA7A26" w:rsidRDefault="00022915" w:rsidP="00C53AB1">
            <w:pPr>
              <w:pStyle w:val="Tableheading0"/>
            </w:pPr>
            <w:r w:rsidRPr="00DA7A26">
              <w:t>Basis of estimate</w:t>
            </w:r>
          </w:p>
        </w:tc>
      </w:tr>
      <w:tr w:rsidR="00022915" w:rsidRPr="003F7EB0" w14:paraId="25B0C4EE" w14:textId="77777777" w:rsidTr="00C53AB1">
        <w:tc>
          <w:tcPr>
            <w:tcW w:w="1701" w:type="dxa"/>
          </w:tcPr>
          <w:p w14:paraId="70F31427" w14:textId="77777777" w:rsidR="00022915" w:rsidRPr="004A57C9" w:rsidRDefault="00022915" w:rsidP="00C53AB1">
            <w:pPr>
              <w:pStyle w:val="Tabletext0"/>
              <w:widowControl w:val="0"/>
              <w:spacing w:before="60"/>
              <w:rPr>
                <w:rFonts w:cs="Arial"/>
                <w:szCs w:val="20"/>
              </w:rPr>
            </w:pPr>
            <w:r w:rsidRPr="004A57C9">
              <w:rPr>
                <w:rFonts w:cs="Arial"/>
                <w:szCs w:val="20"/>
              </w:rPr>
              <w:t>Collection, transport, processing and/or disposal costs</w:t>
            </w:r>
          </w:p>
          <w:p w14:paraId="38591328" w14:textId="77777777" w:rsidR="00022915" w:rsidRPr="00BD5687" w:rsidRDefault="00022915" w:rsidP="00C53AB1">
            <w:pPr>
              <w:pStyle w:val="Tabletext0"/>
              <w:widowControl w:val="0"/>
              <w:spacing w:before="60"/>
              <w:rPr>
                <w:rFonts w:cs="Arial"/>
                <w:szCs w:val="20"/>
              </w:rPr>
            </w:pPr>
            <w:r w:rsidRPr="00917E10">
              <w:rPr>
                <w:rFonts w:cs="Arial"/>
                <w:szCs w:val="20"/>
              </w:rPr>
              <w:t>(</w:t>
            </w:r>
            <w:r>
              <w:rPr>
                <w:rFonts w:cs="Arial"/>
                <w:szCs w:val="20"/>
              </w:rPr>
              <w:t>Present Value of $83 million)</w:t>
            </w:r>
          </w:p>
        </w:tc>
        <w:tc>
          <w:tcPr>
            <w:tcW w:w="4536" w:type="dxa"/>
          </w:tcPr>
          <w:p w14:paraId="4C40AA17" w14:textId="77777777" w:rsidR="00022915" w:rsidRPr="00967316" w:rsidRDefault="00022915" w:rsidP="00C53AB1">
            <w:pPr>
              <w:pStyle w:val="Tabletext0"/>
              <w:widowControl w:val="0"/>
              <w:spacing w:before="60"/>
              <w:rPr>
                <w:rFonts w:cs="Arial"/>
                <w:szCs w:val="20"/>
              </w:rPr>
            </w:pPr>
            <w:r w:rsidRPr="00BD5687">
              <w:rPr>
                <w:rFonts w:cs="Arial"/>
                <w:szCs w:val="20"/>
              </w:rPr>
              <w:t xml:space="preserve">Collection, transport, processing and disposal costs are incurred by local governments (and passed through to residents) for existing waste </w:t>
            </w:r>
            <w:r w:rsidRPr="00967316">
              <w:rPr>
                <w:rFonts w:cs="Arial"/>
                <w:szCs w:val="20"/>
              </w:rPr>
              <w:t>management kerbside collection services.</w:t>
            </w:r>
          </w:p>
          <w:p w14:paraId="67CA15E9" w14:textId="77777777" w:rsidR="00022915" w:rsidRPr="00BD5687" w:rsidRDefault="00022915" w:rsidP="00C53AB1">
            <w:pPr>
              <w:pStyle w:val="Tabletext0"/>
              <w:widowControl w:val="0"/>
              <w:spacing w:before="60"/>
              <w:rPr>
                <w:rFonts w:cs="Arial"/>
                <w:szCs w:val="20"/>
              </w:rPr>
            </w:pPr>
            <w:r w:rsidRPr="00967316">
              <w:rPr>
                <w:rFonts w:cs="Arial"/>
                <w:szCs w:val="20"/>
              </w:rPr>
              <w:t>While the current level of services</w:t>
            </w:r>
            <w:r w:rsidRPr="00BD5687">
              <w:rPr>
                <w:rFonts w:cs="Arial"/>
                <w:szCs w:val="20"/>
              </w:rPr>
              <w:t xml:space="preserve"> is to be maintained, the CDS is expected to divert some of the existing costs of providing these services. </w:t>
            </w:r>
          </w:p>
          <w:p w14:paraId="4EB77884" w14:textId="77777777" w:rsidR="00022915" w:rsidRPr="00BD5687" w:rsidRDefault="00022915" w:rsidP="00C53AB1">
            <w:pPr>
              <w:pStyle w:val="Tabletext0"/>
              <w:widowControl w:val="0"/>
              <w:spacing w:before="60"/>
              <w:rPr>
                <w:rFonts w:cs="Arial"/>
                <w:szCs w:val="20"/>
              </w:rPr>
            </w:pPr>
            <w:r w:rsidRPr="00BD5687">
              <w:rPr>
                <w:rFonts w:cs="Arial"/>
                <w:szCs w:val="20"/>
              </w:rPr>
              <w:t>Although the CDS is expected to increase recyclates,</w:t>
            </w:r>
            <w:r>
              <w:rPr>
                <w:rFonts w:cs="Arial"/>
                <w:szCs w:val="20"/>
              </w:rPr>
              <w:t xml:space="preserve"> Western Australian material recovery facilities</w:t>
            </w:r>
            <w:r w:rsidRPr="00421D13">
              <w:rPr>
                <w:rFonts w:cs="Arial"/>
                <w:szCs w:val="20"/>
              </w:rPr>
              <w:t xml:space="preserve"> </w:t>
            </w:r>
            <w:r>
              <w:rPr>
                <w:rFonts w:cs="Arial"/>
                <w:szCs w:val="20"/>
              </w:rPr>
              <w:t xml:space="preserve">(as distinct from CDS processing sites) </w:t>
            </w:r>
            <w:r w:rsidRPr="00BD5687">
              <w:rPr>
                <w:rFonts w:cs="Arial"/>
                <w:szCs w:val="20"/>
              </w:rPr>
              <w:t>are not expected to experience a significant change in the volume of recyclates that they process.</w:t>
            </w:r>
          </w:p>
          <w:p w14:paraId="6F9736DE" w14:textId="77777777" w:rsidR="00022915" w:rsidRPr="00BD5687" w:rsidRDefault="00022915" w:rsidP="00C53AB1">
            <w:pPr>
              <w:pStyle w:val="Tabletext0"/>
              <w:widowControl w:val="0"/>
              <w:spacing w:before="60"/>
              <w:rPr>
                <w:rFonts w:cs="Arial"/>
                <w:szCs w:val="20"/>
              </w:rPr>
            </w:pPr>
            <w:r>
              <w:rPr>
                <w:rFonts w:cs="Arial"/>
                <w:szCs w:val="20"/>
              </w:rPr>
              <w:t>Material recovery facility</w:t>
            </w:r>
            <w:r w:rsidRPr="00421D13">
              <w:rPr>
                <w:rFonts w:cs="Arial"/>
                <w:szCs w:val="20"/>
              </w:rPr>
              <w:t xml:space="preserve"> </w:t>
            </w:r>
            <w:r w:rsidRPr="00BD5687">
              <w:rPr>
                <w:rFonts w:cs="Arial"/>
                <w:szCs w:val="20"/>
              </w:rPr>
              <w:t>operators indicate that processing glass increases the wear and tear on the plant.  A reduction in glass beverage containers may provide a benefit by reducing maintenance costs.</w:t>
            </w:r>
          </w:p>
          <w:p w14:paraId="1720D777" w14:textId="77777777" w:rsidR="00022915" w:rsidRPr="00BD5687" w:rsidRDefault="00022915" w:rsidP="00C53AB1">
            <w:pPr>
              <w:pStyle w:val="Tabletext0"/>
              <w:widowControl w:val="0"/>
              <w:spacing w:before="60"/>
              <w:rPr>
                <w:rFonts w:cs="Arial"/>
                <w:szCs w:val="20"/>
              </w:rPr>
            </w:pPr>
            <w:r w:rsidRPr="00BD5687">
              <w:rPr>
                <w:rFonts w:cs="Arial"/>
                <w:szCs w:val="20"/>
              </w:rPr>
              <w:t xml:space="preserve">Contamination rates are applied in the material flows analysis to containers going through the recycling stream, and the </w:t>
            </w:r>
            <w:r>
              <w:t xml:space="preserve">cost-benefit </w:t>
            </w:r>
            <w:r>
              <w:rPr>
                <w:rFonts w:cs="Arial"/>
                <w:szCs w:val="20"/>
              </w:rPr>
              <w:t>analysis</w:t>
            </w:r>
            <w:r w:rsidRPr="00BD5687">
              <w:rPr>
                <w:rFonts w:cs="Arial"/>
                <w:szCs w:val="20"/>
              </w:rPr>
              <w:t xml:space="preserve"> modelling automatically applies the prevailing assumptions relating to landfill operating costs and externalities for this portion of the containers.</w:t>
            </w:r>
          </w:p>
        </w:tc>
        <w:tc>
          <w:tcPr>
            <w:tcW w:w="2835" w:type="dxa"/>
          </w:tcPr>
          <w:p w14:paraId="61F6AA99" w14:textId="77777777" w:rsidR="00022915" w:rsidRPr="00BD5687" w:rsidRDefault="00022915" w:rsidP="00C53AB1">
            <w:pPr>
              <w:pStyle w:val="Tabletext0"/>
              <w:widowControl w:val="0"/>
              <w:spacing w:before="60"/>
              <w:rPr>
                <w:rFonts w:cs="Arial"/>
                <w:szCs w:val="20"/>
              </w:rPr>
            </w:pPr>
            <w:r>
              <w:rPr>
                <w:rFonts w:cs="Arial"/>
                <w:szCs w:val="20"/>
              </w:rPr>
              <w:t>Cost and contamination e</w:t>
            </w:r>
            <w:r w:rsidRPr="00BD5687">
              <w:rPr>
                <w:rFonts w:cs="Arial"/>
                <w:szCs w:val="20"/>
              </w:rPr>
              <w:t xml:space="preserve">stimates are based on the </w:t>
            </w:r>
            <w:r w:rsidRPr="00573AAD">
              <w:rPr>
                <w:rFonts w:cs="Arial"/>
                <w:szCs w:val="20"/>
              </w:rPr>
              <w:t>Western Australian local government waste and recycling census (</w:t>
            </w:r>
            <w:r w:rsidRPr="00BD5687">
              <w:rPr>
                <w:rFonts w:cs="Arial"/>
                <w:szCs w:val="20"/>
              </w:rPr>
              <w:t>2013-14, 2014</w:t>
            </w:r>
            <w:r>
              <w:rPr>
                <w:rFonts w:cs="Arial"/>
                <w:szCs w:val="20"/>
              </w:rPr>
              <w:noBreakHyphen/>
            </w:r>
            <w:r w:rsidRPr="00BD5687">
              <w:rPr>
                <w:rFonts w:cs="Arial"/>
                <w:szCs w:val="20"/>
              </w:rPr>
              <w:t>15 and 2015-16</w:t>
            </w:r>
            <w:r>
              <w:rPr>
                <w:rFonts w:cs="Arial"/>
                <w:szCs w:val="20"/>
              </w:rPr>
              <w:t>)</w:t>
            </w:r>
            <w:r w:rsidRPr="00BD5687">
              <w:rPr>
                <w:rFonts w:cs="Arial"/>
                <w:szCs w:val="20"/>
              </w:rPr>
              <w:t>.</w:t>
            </w:r>
          </w:p>
          <w:p w14:paraId="4EFB9C87" w14:textId="77777777" w:rsidR="00022915" w:rsidRPr="00BD5687" w:rsidRDefault="00022915" w:rsidP="00C53AB1">
            <w:pPr>
              <w:pStyle w:val="Tabletext0"/>
              <w:widowControl w:val="0"/>
              <w:spacing w:before="60"/>
              <w:rPr>
                <w:rFonts w:cs="Arial"/>
                <w:szCs w:val="20"/>
              </w:rPr>
            </w:pPr>
            <w:r w:rsidRPr="00BD5687">
              <w:rPr>
                <w:rFonts w:cs="Arial"/>
                <w:szCs w:val="20"/>
              </w:rPr>
              <w:t xml:space="preserve">Material flows are also described in further detail in </w:t>
            </w:r>
            <w:r>
              <w:rPr>
                <w:rFonts w:cs="Arial"/>
                <w:szCs w:val="20"/>
              </w:rPr>
              <w:t xml:space="preserve">the following section of </w:t>
            </w:r>
            <w:r w:rsidRPr="00BD5687">
              <w:rPr>
                <w:rFonts w:cs="Arial"/>
                <w:szCs w:val="20"/>
              </w:rPr>
              <w:t>Appendix A.</w:t>
            </w:r>
          </w:p>
        </w:tc>
      </w:tr>
      <w:tr w:rsidR="00022915" w:rsidRPr="003F7EB0" w14:paraId="50D17A63" w14:textId="77777777" w:rsidTr="00C53AB1">
        <w:tc>
          <w:tcPr>
            <w:tcW w:w="1701" w:type="dxa"/>
          </w:tcPr>
          <w:p w14:paraId="097FA8CB" w14:textId="77777777" w:rsidR="00022915" w:rsidRDefault="00022915" w:rsidP="00C53AB1">
            <w:pPr>
              <w:pStyle w:val="Tabletext0"/>
              <w:widowControl w:val="0"/>
              <w:spacing w:before="60"/>
              <w:rPr>
                <w:rFonts w:cs="Arial"/>
                <w:szCs w:val="20"/>
              </w:rPr>
            </w:pPr>
            <w:r w:rsidRPr="00BD5687">
              <w:rPr>
                <w:rFonts w:cs="Arial"/>
                <w:szCs w:val="20"/>
              </w:rPr>
              <w:t>Avoided landfill externalities</w:t>
            </w:r>
          </w:p>
          <w:p w14:paraId="017B2E6B" w14:textId="77777777" w:rsidR="00022915" w:rsidRPr="00BD5687" w:rsidRDefault="00022915" w:rsidP="00C53AB1">
            <w:pPr>
              <w:pStyle w:val="Tabletext0"/>
              <w:widowControl w:val="0"/>
              <w:spacing w:before="60"/>
              <w:rPr>
                <w:rFonts w:cs="Arial"/>
                <w:szCs w:val="20"/>
              </w:rPr>
            </w:pPr>
            <w:r w:rsidRPr="00917E10">
              <w:rPr>
                <w:rFonts w:cs="Arial"/>
                <w:szCs w:val="20"/>
              </w:rPr>
              <w:t>(</w:t>
            </w:r>
            <w:r>
              <w:rPr>
                <w:rFonts w:cs="Arial"/>
                <w:szCs w:val="20"/>
              </w:rPr>
              <w:t>Present Value of $0.4 million)</w:t>
            </w:r>
          </w:p>
        </w:tc>
        <w:tc>
          <w:tcPr>
            <w:tcW w:w="4536" w:type="dxa"/>
          </w:tcPr>
          <w:p w14:paraId="6DB07AF6" w14:textId="77777777" w:rsidR="00022915" w:rsidRPr="00BD5687" w:rsidRDefault="00022915" w:rsidP="00C53AB1">
            <w:pPr>
              <w:pStyle w:val="Tabletext0"/>
              <w:widowControl w:val="0"/>
              <w:spacing w:before="60"/>
              <w:rPr>
                <w:rFonts w:cs="Arial"/>
                <w:szCs w:val="20"/>
              </w:rPr>
            </w:pPr>
            <w:r w:rsidRPr="00BD5687">
              <w:rPr>
                <w:rFonts w:cs="Arial"/>
                <w:szCs w:val="20"/>
              </w:rPr>
              <w:t>The CDS is expected to divert a portion of beverage containers away from landfill and into recycling streams resulting in avoided landfill externalities (</w:t>
            </w:r>
            <w:r>
              <w:rPr>
                <w:rFonts w:cs="Arial"/>
                <w:szCs w:val="20"/>
              </w:rPr>
              <w:t>for example,</w:t>
            </w:r>
            <w:r w:rsidRPr="00BD5687">
              <w:rPr>
                <w:rFonts w:cs="Arial"/>
                <w:szCs w:val="20"/>
              </w:rPr>
              <w:t xml:space="preserve"> greenhouse gases</w:t>
            </w:r>
            <w:r>
              <w:rPr>
                <w:rFonts w:cs="Arial"/>
                <w:szCs w:val="20"/>
              </w:rPr>
              <w:t>, noting that t</w:t>
            </w:r>
            <w:r w:rsidRPr="00BD5687">
              <w:rPr>
                <w:rFonts w:cs="Arial"/>
                <w:szCs w:val="20"/>
              </w:rPr>
              <w:t>he greenhouse gas potential of most beverage containers is very low).</w:t>
            </w:r>
          </w:p>
          <w:p w14:paraId="266A2322" w14:textId="77777777" w:rsidR="00022915" w:rsidRPr="00BD5687" w:rsidRDefault="00022915" w:rsidP="00C53AB1">
            <w:pPr>
              <w:pStyle w:val="Tabletext0"/>
              <w:widowControl w:val="0"/>
              <w:spacing w:after="40"/>
              <w:rPr>
                <w:rFonts w:cs="Arial"/>
                <w:szCs w:val="20"/>
              </w:rPr>
            </w:pPr>
            <w:r w:rsidRPr="00BD5687">
              <w:rPr>
                <w:rFonts w:cs="Arial"/>
                <w:szCs w:val="20"/>
              </w:rPr>
              <w:t>The average externality costs of greenhouse gas emission reductions are based on several variable factors:</w:t>
            </w:r>
          </w:p>
          <w:p w14:paraId="50D2A6CB" w14:textId="77777777" w:rsidR="00022915" w:rsidRPr="00DA7A26" w:rsidRDefault="00022915" w:rsidP="00C53AB1">
            <w:pPr>
              <w:pStyle w:val="Tablebullets1stindent"/>
            </w:pPr>
            <w:r w:rsidRPr="00DA7A26">
              <w:t>the extent of landfill gas capture at landfills;</w:t>
            </w:r>
          </w:p>
          <w:p w14:paraId="3C55929D" w14:textId="77777777" w:rsidR="00022915" w:rsidRPr="00DA7A26" w:rsidRDefault="00022915" w:rsidP="00C53AB1">
            <w:pPr>
              <w:pStyle w:val="Tablebullets1stindent"/>
            </w:pPr>
            <w:r w:rsidRPr="00DA7A26">
              <w:t>the average efficiency rate of landfill gas capture;</w:t>
            </w:r>
          </w:p>
          <w:p w14:paraId="39E654D9" w14:textId="77777777" w:rsidR="00022915" w:rsidRPr="00DA7A26" w:rsidRDefault="00022915" w:rsidP="00C53AB1">
            <w:pPr>
              <w:pStyle w:val="Tablebullets1stindent"/>
            </w:pPr>
            <w:r w:rsidRPr="00DA7A26">
              <w:t>the ‘emissions factor’ of the material being deposited in landfill; and</w:t>
            </w:r>
          </w:p>
          <w:p w14:paraId="5451CB11" w14:textId="77777777" w:rsidR="00022915" w:rsidRPr="00DA7A26" w:rsidRDefault="00022915" w:rsidP="00C53AB1">
            <w:pPr>
              <w:pStyle w:val="Tablebullets1stindent"/>
            </w:pPr>
            <w:r w:rsidRPr="00DA7A26">
              <w:t>the monetary value of environmental damage caused by greenhouse gases.</w:t>
            </w:r>
          </w:p>
          <w:p w14:paraId="60E83AE4" w14:textId="77777777" w:rsidR="00022915" w:rsidRPr="00DA7A26" w:rsidRDefault="00022915" w:rsidP="00C53AB1">
            <w:pPr>
              <w:pStyle w:val="Tablebullets1stindent"/>
            </w:pPr>
            <w:r w:rsidRPr="00DA7A26">
              <w:t>The CDS is also expected to reduce the potential for groundwater contamination from chemicals released as some containers degrade.  An example is phthalates which are a group of chemicals that are soluble in groundwater and can be released as PET bottles degrade.</w:t>
            </w:r>
          </w:p>
        </w:tc>
        <w:tc>
          <w:tcPr>
            <w:tcW w:w="2835" w:type="dxa"/>
          </w:tcPr>
          <w:p w14:paraId="4828365D" w14:textId="77777777" w:rsidR="00022915" w:rsidRPr="00F24A0E" w:rsidRDefault="00022915" w:rsidP="00C53AB1">
            <w:pPr>
              <w:pStyle w:val="Tabletext0"/>
              <w:widowControl w:val="0"/>
              <w:spacing w:before="60"/>
              <w:rPr>
                <w:rFonts w:cs="Arial"/>
                <w:szCs w:val="20"/>
              </w:rPr>
            </w:pPr>
            <w:r w:rsidRPr="00F24A0E">
              <w:rPr>
                <w:rFonts w:cs="Arial"/>
                <w:szCs w:val="20"/>
              </w:rPr>
              <w:t>Landfill externalities are based on previous analysis: Marsden Jacob Associates, ‘</w:t>
            </w:r>
            <w:r w:rsidRPr="00F24A0E">
              <w:rPr>
                <w:rFonts w:cs="Arial"/>
                <w:i/>
                <w:szCs w:val="20"/>
              </w:rPr>
              <w:t>Distributional and cost benefit analysis for the Packaging Impacts Decision Regulation Impact Statement: data assumptions</w:t>
            </w:r>
            <w:r w:rsidRPr="00F24A0E">
              <w:rPr>
                <w:rFonts w:cs="Arial"/>
                <w:szCs w:val="20"/>
              </w:rPr>
              <w:t xml:space="preserve">, Attachment K to the </w:t>
            </w:r>
            <w:r w:rsidRPr="00F24A0E">
              <w:rPr>
                <w:rFonts w:cs="Arial"/>
                <w:i/>
                <w:szCs w:val="20"/>
              </w:rPr>
              <w:t>Packaging Impacts Decision Regulation Impact Statement</w:t>
            </w:r>
            <w:r w:rsidRPr="00F24A0E">
              <w:rPr>
                <w:rFonts w:cs="Arial"/>
                <w:szCs w:val="20"/>
              </w:rPr>
              <w:t>, Marsden Jacob Associates, Melbourne, 2013.</w:t>
            </w:r>
          </w:p>
          <w:p w14:paraId="49BA5916" w14:textId="77777777" w:rsidR="00022915" w:rsidRPr="00F24A0E" w:rsidRDefault="00022915" w:rsidP="00C53AB1">
            <w:pPr>
              <w:pStyle w:val="Tabletext0"/>
              <w:widowControl w:val="0"/>
              <w:spacing w:before="60"/>
              <w:rPr>
                <w:rFonts w:cs="Arial"/>
                <w:szCs w:val="20"/>
              </w:rPr>
            </w:pPr>
            <w:r w:rsidRPr="00F24A0E">
              <w:rPr>
                <w:rFonts w:cs="Arial"/>
                <w:szCs w:val="20"/>
              </w:rPr>
              <w:t xml:space="preserve">This is described in further detail in </w:t>
            </w:r>
            <w:r>
              <w:rPr>
                <w:rFonts w:cs="Arial"/>
                <w:szCs w:val="20"/>
              </w:rPr>
              <w:t xml:space="preserve">this </w:t>
            </w:r>
            <w:r w:rsidRPr="00F24A0E">
              <w:rPr>
                <w:rFonts w:cs="Arial"/>
                <w:szCs w:val="20"/>
              </w:rPr>
              <w:t>Appendix.</w:t>
            </w:r>
          </w:p>
          <w:p w14:paraId="0CF88FE4" w14:textId="77777777" w:rsidR="00022915" w:rsidRDefault="00022915" w:rsidP="00C53AB1">
            <w:pPr>
              <w:pStyle w:val="Tabletext0"/>
              <w:widowControl w:val="0"/>
              <w:spacing w:before="60"/>
              <w:rPr>
                <w:rFonts w:cs="Arial"/>
                <w:lang w:eastAsia="en-AU"/>
              </w:rPr>
            </w:pPr>
            <w:r>
              <w:rPr>
                <w:rFonts w:cs="Arial"/>
                <w:lang w:eastAsia="en-AU"/>
              </w:rPr>
              <w:t xml:space="preserve">For ground water contamination see </w:t>
            </w:r>
            <w:r w:rsidRPr="00F24A0E">
              <w:rPr>
                <w:rFonts w:cs="Arial"/>
                <w:lang w:eastAsia="en-AU"/>
              </w:rPr>
              <w:t xml:space="preserve">Wowkonowicz and Kijeńska (2017) </w:t>
            </w:r>
            <w:r w:rsidRPr="00F24A0E">
              <w:rPr>
                <w:rFonts w:cs="Arial"/>
                <w:i/>
                <w:lang w:eastAsia="en-AU"/>
              </w:rPr>
              <w:t>Phthalate release in leachate from municipal landfills of central Poland</w:t>
            </w:r>
            <w:r w:rsidRPr="00F24A0E">
              <w:rPr>
                <w:rFonts w:cs="Arial"/>
                <w:lang w:eastAsia="en-AU"/>
              </w:rPr>
              <w:t xml:space="preserve">. PLoS ONE 12(3): e0174986. </w:t>
            </w:r>
            <w:hyperlink r:id="rId53" w:history="1">
              <w:r w:rsidRPr="00F24A0E">
                <w:rPr>
                  <w:rFonts w:cs="Arial"/>
                  <w:lang w:eastAsia="en-AU"/>
                </w:rPr>
                <w:t>https://doi.org/10.1371/journal.pone.0174986</w:t>
              </w:r>
            </w:hyperlink>
            <w:r>
              <w:rPr>
                <w:rFonts w:cs="Arial"/>
                <w:lang w:eastAsia="en-AU"/>
              </w:rPr>
              <w:t xml:space="preserve"> </w:t>
            </w:r>
            <w:r w:rsidRPr="00F24A0E">
              <w:rPr>
                <w:rFonts w:cs="Arial"/>
                <w:lang w:eastAsia="en-AU"/>
              </w:rPr>
              <w:t xml:space="preserve"> (accessed March 2018).</w:t>
            </w:r>
          </w:p>
          <w:p w14:paraId="36B4CAB6" w14:textId="77777777" w:rsidR="00022915" w:rsidRPr="00F24A0E" w:rsidRDefault="00022915" w:rsidP="00C53AB1">
            <w:pPr>
              <w:pStyle w:val="Tabletext0"/>
              <w:widowControl w:val="0"/>
              <w:spacing w:before="60"/>
              <w:rPr>
                <w:rFonts w:cs="Arial"/>
                <w:szCs w:val="20"/>
              </w:rPr>
            </w:pPr>
          </w:p>
        </w:tc>
      </w:tr>
      <w:tr w:rsidR="00022915" w:rsidRPr="003F7EB0" w14:paraId="3CC3E113" w14:textId="77777777" w:rsidTr="00C53AB1">
        <w:tc>
          <w:tcPr>
            <w:tcW w:w="1701" w:type="dxa"/>
          </w:tcPr>
          <w:p w14:paraId="0F5112BE" w14:textId="77777777" w:rsidR="00022915" w:rsidRDefault="00022915" w:rsidP="00C53AB1">
            <w:pPr>
              <w:pStyle w:val="Tabletext0"/>
              <w:widowControl w:val="0"/>
              <w:spacing w:before="60"/>
              <w:rPr>
                <w:rFonts w:cs="Arial"/>
                <w:szCs w:val="20"/>
              </w:rPr>
            </w:pPr>
            <w:r w:rsidRPr="00BD5687">
              <w:rPr>
                <w:rFonts w:cs="Arial"/>
                <w:szCs w:val="20"/>
              </w:rPr>
              <w:t>Avoided litter costs</w:t>
            </w:r>
            <w:r>
              <w:rPr>
                <w:rFonts w:cs="Arial"/>
                <w:szCs w:val="20"/>
              </w:rPr>
              <w:t xml:space="preserve"> </w:t>
            </w:r>
          </w:p>
          <w:p w14:paraId="3448B048" w14:textId="77777777" w:rsidR="00022915" w:rsidRPr="00BD5687" w:rsidRDefault="00022915" w:rsidP="00C53AB1">
            <w:pPr>
              <w:pStyle w:val="Tabletext0"/>
              <w:widowControl w:val="0"/>
              <w:spacing w:before="60"/>
              <w:rPr>
                <w:rFonts w:cs="Arial"/>
                <w:szCs w:val="20"/>
              </w:rPr>
            </w:pPr>
            <w:r w:rsidRPr="00917E10">
              <w:rPr>
                <w:rFonts w:cs="Arial"/>
                <w:szCs w:val="20"/>
              </w:rPr>
              <w:t>(</w:t>
            </w:r>
            <w:r>
              <w:rPr>
                <w:rFonts w:cs="Arial"/>
                <w:szCs w:val="20"/>
              </w:rPr>
              <w:t>Present Value of $445 million)</w:t>
            </w:r>
          </w:p>
        </w:tc>
        <w:tc>
          <w:tcPr>
            <w:tcW w:w="4536" w:type="dxa"/>
          </w:tcPr>
          <w:p w14:paraId="639F88E7" w14:textId="77777777" w:rsidR="00022915" w:rsidRPr="00BD5687" w:rsidRDefault="00022915" w:rsidP="00C53AB1">
            <w:pPr>
              <w:pStyle w:val="Tabletext0"/>
              <w:widowControl w:val="0"/>
              <w:spacing w:before="60"/>
              <w:rPr>
                <w:rFonts w:cs="Arial"/>
                <w:szCs w:val="20"/>
              </w:rPr>
            </w:pPr>
            <w:r w:rsidRPr="00BD5687">
              <w:rPr>
                <w:rFonts w:cs="Arial"/>
                <w:szCs w:val="20"/>
              </w:rPr>
              <w:t>The avoided costs of litter are estimated based on willingness to pay to avoid litter, and sensitivity tests are conducted using an estimate of</w:t>
            </w:r>
            <w:r>
              <w:rPr>
                <w:rFonts w:cs="Arial"/>
                <w:szCs w:val="20"/>
              </w:rPr>
              <w:t xml:space="preserve"> willingness to pay</w:t>
            </w:r>
            <w:r w:rsidRPr="00BD5687">
              <w:rPr>
                <w:rFonts w:cs="Arial"/>
                <w:szCs w:val="20"/>
              </w:rPr>
              <w:t xml:space="preserve"> to increase recycling.</w:t>
            </w:r>
          </w:p>
          <w:p w14:paraId="7A540272" w14:textId="77777777" w:rsidR="00022915" w:rsidRPr="00BD5687" w:rsidRDefault="00022915" w:rsidP="00C53AB1">
            <w:pPr>
              <w:pStyle w:val="Tabletext0"/>
              <w:widowControl w:val="0"/>
              <w:spacing w:before="60"/>
              <w:rPr>
                <w:rFonts w:cs="Arial"/>
                <w:szCs w:val="20"/>
              </w:rPr>
            </w:pPr>
            <w:r w:rsidRPr="00BD5687">
              <w:rPr>
                <w:rFonts w:cs="Arial"/>
                <w:szCs w:val="20"/>
              </w:rPr>
              <w:t>WTP to avoid litter reflects the value that households and the broader community place on litter avoidance.</w:t>
            </w:r>
            <w:r>
              <w:rPr>
                <w:rFonts w:cs="Arial"/>
                <w:szCs w:val="20"/>
              </w:rPr>
              <w:t xml:space="preserve"> The willingness to pay</w:t>
            </w:r>
            <w:r w:rsidRPr="00BD5687">
              <w:rPr>
                <w:rFonts w:cs="Arial"/>
                <w:szCs w:val="20"/>
              </w:rPr>
              <w:t xml:space="preserve"> to increase recycling reflects the amount households would pay to reduce the amount of materials going to landfill.</w:t>
            </w:r>
          </w:p>
          <w:p w14:paraId="03EECB46" w14:textId="77777777" w:rsidR="00022915" w:rsidRPr="00BD5687" w:rsidRDefault="00022915" w:rsidP="00C53AB1">
            <w:pPr>
              <w:pStyle w:val="Tabletext0"/>
              <w:widowControl w:val="0"/>
              <w:spacing w:before="60"/>
              <w:rPr>
                <w:rFonts w:cs="Arial"/>
                <w:szCs w:val="20"/>
              </w:rPr>
            </w:pPr>
            <w:r w:rsidRPr="00BD5687">
              <w:rPr>
                <w:rFonts w:cs="Arial"/>
                <w:szCs w:val="20"/>
              </w:rPr>
              <w:t xml:space="preserve">The two types </w:t>
            </w:r>
            <w:r>
              <w:rPr>
                <w:rFonts w:cs="Arial"/>
                <w:szCs w:val="20"/>
              </w:rPr>
              <w:t>of willingness to pay</w:t>
            </w:r>
            <w:r w:rsidRPr="00BD5687">
              <w:rPr>
                <w:rFonts w:cs="Arial"/>
                <w:szCs w:val="20"/>
              </w:rPr>
              <w:t xml:space="preserve"> are used independently of one another to avoid the potential for benefits to be double counted. </w:t>
            </w:r>
          </w:p>
          <w:p w14:paraId="7AF8F9A5" w14:textId="77777777" w:rsidR="00022915" w:rsidRPr="00BD5687" w:rsidRDefault="00022915" w:rsidP="00C53AB1">
            <w:pPr>
              <w:pStyle w:val="Tabletext0"/>
              <w:widowControl w:val="0"/>
              <w:spacing w:before="60"/>
              <w:rPr>
                <w:rFonts w:cs="Arial"/>
                <w:szCs w:val="20"/>
              </w:rPr>
            </w:pPr>
            <w:r w:rsidRPr="00BD5687">
              <w:rPr>
                <w:rFonts w:cs="Arial"/>
                <w:szCs w:val="20"/>
              </w:rPr>
              <w:t>There is also potential for reduced emergency care and hospitalisation costs from glass container lacerations.</w:t>
            </w:r>
          </w:p>
        </w:tc>
        <w:tc>
          <w:tcPr>
            <w:tcW w:w="2835" w:type="dxa"/>
          </w:tcPr>
          <w:p w14:paraId="3C8E1824" w14:textId="77777777" w:rsidR="00022915" w:rsidRPr="00BD5687" w:rsidRDefault="00022915" w:rsidP="00C53AB1">
            <w:pPr>
              <w:pStyle w:val="Tabletext0"/>
              <w:widowControl w:val="0"/>
              <w:spacing w:before="60"/>
              <w:rPr>
                <w:rFonts w:cs="Arial"/>
                <w:szCs w:val="20"/>
              </w:rPr>
            </w:pPr>
            <w:r w:rsidRPr="00BD5687">
              <w:rPr>
                <w:rFonts w:cs="Arial"/>
                <w:szCs w:val="20"/>
              </w:rPr>
              <w:t>Estimates of</w:t>
            </w:r>
            <w:r>
              <w:rPr>
                <w:rFonts w:cs="Arial"/>
                <w:szCs w:val="20"/>
              </w:rPr>
              <w:t xml:space="preserve"> willingness to pay</w:t>
            </w:r>
            <w:r w:rsidRPr="00BD5687">
              <w:rPr>
                <w:rFonts w:cs="Arial"/>
                <w:szCs w:val="20"/>
              </w:rPr>
              <w:t xml:space="preserve"> to avoid litter are based on recalibrated analysis from PricewaterhouseCoopers (PwC), </w:t>
            </w:r>
            <w:r w:rsidRPr="00BD5687">
              <w:rPr>
                <w:rFonts w:cs="Arial"/>
                <w:i/>
                <w:szCs w:val="20"/>
              </w:rPr>
              <w:t>Estimating consumers’ willingness to pay for improvements to packaging and beverage container waste management,</w:t>
            </w:r>
            <w:r w:rsidRPr="00BD5687">
              <w:rPr>
                <w:rFonts w:cs="Arial"/>
                <w:szCs w:val="20"/>
              </w:rPr>
              <w:t xml:space="preserve"> prepared for the Environment Protection and Heritage Council, PwC, 2010.</w:t>
            </w:r>
          </w:p>
          <w:p w14:paraId="3240F7D1" w14:textId="77777777" w:rsidR="00022915" w:rsidRPr="00BD5687" w:rsidRDefault="00022915" w:rsidP="00C53AB1">
            <w:pPr>
              <w:pStyle w:val="Tabletext0"/>
              <w:widowControl w:val="0"/>
              <w:spacing w:before="60"/>
              <w:rPr>
                <w:rFonts w:cs="Arial"/>
                <w:szCs w:val="20"/>
              </w:rPr>
            </w:pPr>
            <w:r w:rsidRPr="00BD5687">
              <w:rPr>
                <w:rFonts w:cs="Arial"/>
                <w:szCs w:val="20"/>
              </w:rPr>
              <w:t xml:space="preserve">WTP to increase recycling is based on R Gillespie, J Bennett, </w:t>
            </w:r>
            <w:r w:rsidRPr="00BD5687">
              <w:rPr>
                <w:rFonts w:cs="Arial"/>
                <w:i/>
                <w:szCs w:val="20"/>
              </w:rPr>
              <w:t>Willingness to pay for kerbside recycling the Brisbane Region</w:t>
            </w:r>
            <w:r w:rsidRPr="00BD5687">
              <w:rPr>
                <w:rFonts w:cs="Arial"/>
                <w:szCs w:val="20"/>
              </w:rPr>
              <w:t>, research report no. 97, Environmental Economics Research Hub, Canberra, 2011.</w:t>
            </w:r>
          </w:p>
          <w:p w14:paraId="016FE57F" w14:textId="77777777" w:rsidR="00022915" w:rsidRPr="00BD5687" w:rsidRDefault="00022915" w:rsidP="00C53AB1">
            <w:pPr>
              <w:pStyle w:val="Tabletext0"/>
              <w:widowControl w:val="0"/>
              <w:spacing w:before="60"/>
              <w:rPr>
                <w:rFonts w:cs="Arial"/>
                <w:szCs w:val="20"/>
              </w:rPr>
            </w:pPr>
            <w:r w:rsidRPr="00BD5687">
              <w:rPr>
                <w:rFonts w:cs="Arial"/>
                <w:szCs w:val="20"/>
              </w:rPr>
              <w:t>WTP estimates are described in further detail in Appendix A to this report.</w:t>
            </w:r>
          </w:p>
        </w:tc>
      </w:tr>
      <w:tr w:rsidR="00022915" w:rsidRPr="003F7EB0" w14:paraId="4EC9B9E8" w14:textId="77777777" w:rsidTr="00C53AB1">
        <w:trPr>
          <w:cantSplit/>
        </w:trPr>
        <w:tc>
          <w:tcPr>
            <w:tcW w:w="1701" w:type="dxa"/>
          </w:tcPr>
          <w:p w14:paraId="419E68A0" w14:textId="77777777" w:rsidR="00022915" w:rsidRPr="00AE4CFF" w:rsidRDefault="00022915" w:rsidP="00C53AB1">
            <w:pPr>
              <w:pStyle w:val="Tabletext0"/>
              <w:widowControl w:val="0"/>
              <w:spacing w:before="60"/>
              <w:rPr>
                <w:rFonts w:cs="Arial"/>
                <w:szCs w:val="20"/>
              </w:rPr>
            </w:pPr>
            <w:r w:rsidRPr="00BD5687">
              <w:rPr>
                <w:rFonts w:cs="Arial"/>
                <w:szCs w:val="20"/>
              </w:rPr>
              <w:t xml:space="preserve">Value of resources </w:t>
            </w:r>
            <w:r w:rsidRPr="00AE4CFF">
              <w:rPr>
                <w:rFonts w:cs="Arial"/>
                <w:szCs w:val="20"/>
              </w:rPr>
              <w:t>recovered through recycling</w:t>
            </w:r>
          </w:p>
          <w:p w14:paraId="75209571" w14:textId="77777777" w:rsidR="00022915" w:rsidRPr="00BD5687" w:rsidRDefault="00022915" w:rsidP="00C53AB1">
            <w:pPr>
              <w:pStyle w:val="Tabletext0"/>
              <w:widowControl w:val="0"/>
              <w:spacing w:before="60"/>
              <w:rPr>
                <w:rFonts w:cs="Arial"/>
                <w:szCs w:val="20"/>
                <w:highlight w:val="red"/>
              </w:rPr>
            </w:pPr>
            <w:r w:rsidRPr="007B71AD">
              <w:rPr>
                <w:rFonts w:cs="Arial"/>
                <w:szCs w:val="20"/>
              </w:rPr>
              <w:t>(</w:t>
            </w:r>
            <w:r>
              <w:rPr>
                <w:rFonts w:cs="Arial"/>
                <w:szCs w:val="20"/>
              </w:rPr>
              <w:t>Present Value of $37 million)</w:t>
            </w:r>
          </w:p>
        </w:tc>
        <w:tc>
          <w:tcPr>
            <w:tcW w:w="4536" w:type="dxa"/>
          </w:tcPr>
          <w:p w14:paraId="7E120FA6" w14:textId="77777777" w:rsidR="00022915" w:rsidRPr="00BD5687" w:rsidRDefault="00022915" w:rsidP="00C53AB1">
            <w:pPr>
              <w:pStyle w:val="Tabletext0"/>
              <w:widowControl w:val="0"/>
              <w:spacing w:before="60"/>
              <w:rPr>
                <w:rFonts w:cs="Arial"/>
                <w:szCs w:val="20"/>
              </w:rPr>
            </w:pPr>
            <w:r w:rsidRPr="00BD5687">
              <w:rPr>
                <w:rFonts w:cs="Arial"/>
                <w:szCs w:val="20"/>
              </w:rPr>
              <w:t xml:space="preserve">The value of resources recovered through recycling reflects the use value of beverage container materials. Projections of market values were developed for recoverable beverage container materials, including glass, aluminium cans, plastics and liquid paperboard. </w:t>
            </w:r>
          </w:p>
          <w:p w14:paraId="15EF6066" w14:textId="77777777" w:rsidR="00022915" w:rsidRPr="00BD5687" w:rsidRDefault="00022915" w:rsidP="00C53AB1">
            <w:pPr>
              <w:pStyle w:val="Tabletext0"/>
              <w:widowControl w:val="0"/>
              <w:spacing w:before="60"/>
              <w:rPr>
                <w:rFonts w:cs="Arial"/>
                <w:szCs w:val="20"/>
              </w:rPr>
            </w:pPr>
            <w:r w:rsidRPr="00BD5687">
              <w:rPr>
                <w:rFonts w:cs="Arial"/>
                <w:szCs w:val="20"/>
              </w:rPr>
              <w:t>A premium for materials recovered from the CDS was also estimated for each type of material. Under the CDS, the different container types are separated at the point of redemption</w:t>
            </w:r>
            <w:r>
              <w:rPr>
                <w:rFonts w:cs="Arial"/>
                <w:szCs w:val="20"/>
              </w:rPr>
              <w:t xml:space="preserve">.  As such, </w:t>
            </w:r>
            <w:r w:rsidRPr="00BD5687">
              <w:rPr>
                <w:rFonts w:cs="Arial"/>
                <w:szCs w:val="20"/>
              </w:rPr>
              <w:t>the materials are less contaminated than those collected through kerbside recycling (for example, when broken glass and other waste is incorrectly placed in bins)</w:t>
            </w:r>
            <w:r>
              <w:rPr>
                <w:rFonts w:cs="Arial"/>
                <w:szCs w:val="20"/>
              </w:rPr>
              <w:t xml:space="preserve"> and </w:t>
            </w:r>
            <w:r w:rsidRPr="00BD5687">
              <w:rPr>
                <w:rFonts w:cs="Arial"/>
                <w:szCs w:val="20"/>
              </w:rPr>
              <w:t>their recycling potential is higher.</w:t>
            </w:r>
          </w:p>
        </w:tc>
        <w:tc>
          <w:tcPr>
            <w:tcW w:w="2835" w:type="dxa"/>
          </w:tcPr>
          <w:p w14:paraId="1B51DDBB" w14:textId="77777777" w:rsidR="00022915" w:rsidRPr="00BD5687" w:rsidRDefault="00022915" w:rsidP="00C53AB1">
            <w:pPr>
              <w:pStyle w:val="Tabletext0"/>
              <w:widowControl w:val="0"/>
              <w:spacing w:before="60"/>
              <w:rPr>
                <w:rFonts w:cs="Arial"/>
                <w:szCs w:val="20"/>
              </w:rPr>
            </w:pPr>
            <w:r w:rsidRPr="00BD5687">
              <w:rPr>
                <w:rFonts w:cs="Arial"/>
                <w:szCs w:val="20"/>
              </w:rPr>
              <w:t>Estimates for aluminium cans, plastics and liquid paperboard align with those used in the national Packaging Impacts RIS.</w:t>
            </w:r>
          </w:p>
          <w:p w14:paraId="2EB41D03" w14:textId="77777777" w:rsidR="00022915" w:rsidRPr="00BD5687" w:rsidRDefault="00022915" w:rsidP="00C53AB1">
            <w:pPr>
              <w:pStyle w:val="Tabletext0"/>
              <w:widowControl w:val="0"/>
              <w:spacing w:before="60"/>
              <w:rPr>
                <w:rFonts w:cs="Arial"/>
                <w:szCs w:val="20"/>
              </w:rPr>
            </w:pPr>
            <w:r w:rsidRPr="00BD5687">
              <w:rPr>
                <w:rFonts w:cs="Arial"/>
                <w:szCs w:val="20"/>
              </w:rPr>
              <w:t xml:space="preserve">Discussions with stakeholders indicated a wide range of values for glass; the estimates used reflect recycling industry sources for material not yet processed. </w:t>
            </w:r>
          </w:p>
        </w:tc>
      </w:tr>
    </w:tbl>
    <w:p w14:paraId="2BEDCD81" w14:textId="77777777" w:rsidR="00022915" w:rsidRDefault="00022915" w:rsidP="00022915">
      <w:pPr>
        <w:pStyle w:val="Heading3"/>
      </w:pPr>
      <w:r w:rsidRPr="009127CD">
        <w:t>Demand impacts arising from changes in price</w:t>
      </w:r>
    </w:p>
    <w:p w14:paraId="5CF187A2" w14:textId="77777777" w:rsidR="00022915" w:rsidRDefault="00022915" w:rsidP="00022915">
      <w:r>
        <w:t xml:space="preserve">As set out in section </w:t>
      </w:r>
      <w:r>
        <w:fldChar w:fldCharType="begin"/>
      </w:r>
      <w:r>
        <w:instrText xml:space="preserve"> REF _Ref517356503 \r \h </w:instrText>
      </w:r>
      <w:r>
        <w:fldChar w:fldCharType="separate"/>
      </w:r>
      <w:r>
        <w:t>4.2</w:t>
      </w:r>
      <w:r>
        <w:fldChar w:fldCharType="end"/>
      </w:r>
      <w:r>
        <w:t xml:space="preserve">, the CBA does not include any demand impacts from price changes, because the price implications (net of the refund) and elasticity response are assumed to be low and some uncertainty exists around the scale of any demand response.  </w:t>
      </w:r>
    </w:p>
    <w:p w14:paraId="38ED2D6A" w14:textId="77777777" w:rsidR="00022915" w:rsidRDefault="00022915" w:rsidP="00022915">
      <w:r>
        <w:t>The technical term for the impact of price changes on demand is the “elasticity of demand”. Measured as a ratio of the percentage change in demand for a one percent change in price, elasticities are almost always negative (apart from some luxury goods). That is, an increase in price reduces demand.  For simplicity the negative sign is often assumed and the extent of the change is most important:</w:t>
      </w:r>
    </w:p>
    <w:p w14:paraId="7DF413FF" w14:textId="77777777" w:rsidR="00022915" w:rsidRDefault="00022915" w:rsidP="00022915">
      <w:pPr>
        <w:pStyle w:val="Bullets1stindent"/>
      </w:pPr>
      <w:r>
        <w:t xml:space="preserve">Unit elasticity - An elasticity of one (or unit elasticity) means that a one percent increase in price results in a one percent decrease in product sales.  </w:t>
      </w:r>
    </w:p>
    <w:p w14:paraId="17B00B56" w14:textId="77777777" w:rsidR="00022915" w:rsidRDefault="00022915" w:rsidP="00022915">
      <w:pPr>
        <w:pStyle w:val="Bullets1stindent"/>
      </w:pPr>
      <w:r>
        <w:t>Elastic - If the elasticity is greater than one then it is considered elastic.  This means a one percent increase in price results in more than a one percent decrease in sales.</w:t>
      </w:r>
    </w:p>
    <w:p w14:paraId="57AF92B8" w14:textId="77777777" w:rsidR="00022915" w:rsidRDefault="00022915" w:rsidP="00022915">
      <w:pPr>
        <w:pStyle w:val="Bullets1stindent"/>
      </w:pPr>
      <w:r>
        <w:t>Inelastic - If the elasticity is less than one then it is considered inelastic.  This means a one percent increase in price results in less than a one percent decrease in sales.</w:t>
      </w:r>
    </w:p>
    <w:p w14:paraId="059C8AB1" w14:textId="77777777" w:rsidR="00022915" w:rsidRDefault="00022915" w:rsidP="00022915">
      <w:pPr>
        <w:pStyle w:val="Bullets1stindent"/>
        <w:numPr>
          <w:ilvl w:val="0"/>
          <w:numId w:val="0"/>
        </w:numPr>
      </w:pPr>
      <w:r>
        <w:t>The relevant recent literature on elasticity demand is summarised below.</w:t>
      </w:r>
    </w:p>
    <w:p w14:paraId="618166B7" w14:textId="77777777" w:rsidR="00022915" w:rsidRDefault="00022915" w:rsidP="00022915">
      <w:pPr>
        <w:pStyle w:val="Heading4"/>
      </w:pPr>
      <w:r>
        <w:t>Estimation of elasticities from a CDS</w:t>
      </w:r>
    </w:p>
    <w:p w14:paraId="3C4E6015" w14:textId="77777777" w:rsidR="00022915" w:rsidRDefault="00022915" w:rsidP="00022915">
      <w:r>
        <w:t xml:space="preserve">A search of the literature did not identify any contemporary, peer reviewed literature on the price elasticity of demand for CDS in Australia.  </w:t>
      </w:r>
    </w:p>
    <w:p w14:paraId="25C8EB29" w14:textId="77777777" w:rsidR="00022915" w:rsidRDefault="00022915" w:rsidP="00022915">
      <w:r>
        <w:t xml:space="preserve">However, where studies were identified they consistently found that the demand elasticity in relation to Australian CDSs is low.  For instance, ahead of the CDS being implemented in New South Wales, Macquarie Wealth Management (2016) estimated the elasticity to be around 0.25 for products produced by Coca-Cola Amatil. </w:t>
      </w:r>
    </w:p>
    <w:p w14:paraId="27F23C18" w14:textId="77777777" w:rsidR="00022915" w:rsidRDefault="00022915" w:rsidP="00022915">
      <w:r>
        <w:t xml:space="preserve">To support an investigation by the New South Wales Independent Pricing and Regulatory Tribunal (IPART), the </w:t>
      </w:r>
      <w:r w:rsidRPr="008F0623">
        <w:t>Centre for International Economics</w:t>
      </w:r>
      <w:r>
        <w:t xml:space="preserve"> (2018) provided an analysis of impacts on beverage expenditure and consumption. The study does not estimate the elasticity explicitly but did include a specific discussion on elasticity which stated that “</w:t>
      </w:r>
      <w:r w:rsidRPr="009127CD">
        <w:rPr>
          <w:i/>
        </w:rPr>
        <w:t>changes in consumer purchasing patter</w:t>
      </w:r>
      <w:r>
        <w:rPr>
          <w:i/>
        </w:rPr>
        <w:t>n</w:t>
      </w:r>
      <w:r w:rsidRPr="009127CD">
        <w:rPr>
          <w:i/>
        </w:rPr>
        <w:t>s may not occur immediately.  There may also be complicated responses to the CDS within beverage types.  For example, people may substitute to larger products, because these have a lower proportional CDS levy … Within different regions there could also be different effect.</w:t>
      </w:r>
      <w:r>
        <w:t xml:space="preserve">”  </w:t>
      </w:r>
    </w:p>
    <w:p w14:paraId="12F8210A" w14:textId="77777777" w:rsidR="00022915" w:rsidRDefault="00022915" w:rsidP="00022915">
      <w:r>
        <w:t xml:space="preserve">The </w:t>
      </w:r>
      <w:r w:rsidRPr="008F0623">
        <w:t>Centre for International Economics</w:t>
      </w:r>
      <w:r w:rsidRPr="008F0623" w:rsidDel="008F0623">
        <w:t xml:space="preserve"> </w:t>
      </w:r>
      <w:r>
        <w:t>analysis presented some preliminary results on expenditure and consumptions which found that the CDS may have marginally reduced consumption of non-alcoholic beverages and found no clear evidence of impacts for alcoholic beverages.  However, the report stated that “</w:t>
      </w:r>
      <w:r w:rsidRPr="009127CD">
        <w:rPr>
          <w:i/>
        </w:rPr>
        <w:t>There are good reasons to be cautious in interpreting the findings of the impacts of the CDS at this stage</w:t>
      </w:r>
      <w:r>
        <w:t>.</w:t>
      </w:r>
    </w:p>
    <w:p w14:paraId="54183893" w14:textId="77777777" w:rsidR="00022915" w:rsidRPr="00270744" w:rsidRDefault="00022915" w:rsidP="00022915">
      <w:pPr>
        <w:pStyle w:val="Bullets1stindent"/>
        <w:rPr>
          <w:i/>
        </w:rPr>
      </w:pPr>
      <w:r w:rsidRPr="00270744">
        <w:rPr>
          <w:i/>
        </w:rPr>
        <w:t xml:space="preserve">There is a significant amount of variation in the underlying consumption trends. This makes it more challenging to identify the impacts of the CDS versus the impacts of other factors.  </w:t>
      </w:r>
    </w:p>
    <w:p w14:paraId="403F453B" w14:textId="77777777" w:rsidR="00022915" w:rsidRPr="00270744" w:rsidRDefault="00022915" w:rsidP="00022915">
      <w:pPr>
        <w:pStyle w:val="Bullets1stindent"/>
        <w:rPr>
          <w:i/>
        </w:rPr>
      </w:pPr>
      <w:r w:rsidRPr="00270744">
        <w:rPr>
          <w:i/>
        </w:rPr>
        <w:t>There are strong seasonal effects (beverage consumption is typically higher through summer) which coincides with the introduction of the CDS, and different seasonal patterns across states.”</w:t>
      </w:r>
    </w:p>
    <w:p w14:paraId="564FBC81" w14:textId="77777777" w:rsidR="00022915" w:rsidRDefault="00022915" w:rsidP="00022915">
      <w:pPr>
        <w:pStyle w:val="Heading4"/>
      </w:pPr>
      <w:r>
        <w:t>Recent studies for other policy interventions</w:t>
      </w:r>
    </w:p>
    <w:p w14:paraId="4BFF730F" w14:textId="77777777" w:rsidR="00022915" w:rsidRDefault="00022915" w:rsidP="00022915">
      <w:r>
        <w:t>A number of studies have estimated elasticities for beverages in relation to taxes or policy changes that affect beverage consumption, such as a sugar tax or changes in alcohol taxes. For instance, a report by Oxford Economics for the British Soft Drinks Association (2016), considering the economic impact of the United Kingdom’s soft drinks levy, identified elasticities for a range of bottled beverages and identified that there are different impacts across three key markets.  Using Australian terminology these could be described as:</w:t>
      </w:r>
    </w:p>
    <w:p w14:paraId="21EDEA42" w14:textId="77777777" w:rsidR="00022915" w:rsidRDefault="00022915" w:rsidP="00022915">
      <w:pPr>
        <w:pStyle w:val="Bullets1stindent"/>
      </w:pPr>
      <w:r>
        <w:t>Hotels, restaurants and cafes (for consumption on site);</w:t>
      </w:r>
    </w:p>
    <w:p w14:paraId="3F40975B" w14:textId="77777777" w:rsidR="00022915" w:rsidRDefault="00022915" w:rsidP="00022915">
      <w:pPr>
        <w:pStyle w:val="Bullets1stindent"/>
      </w:pPr>
      <w:r>
        <w:t>Convenience stores (served cold for immediate consumption off site); and</w:t>
      </w:r>
    </w:p>
    <w:p w14:paraId="2BFB4C6F" w14:textId="77777777" w:rsidR="00022915" w:rsidRDefault="00022915" w:rsidP="00022915">
      <w:pPr>
        <w:pStyle w:val="Bullets1stindent"/>
      </w:pPr>
      <w:r>
        <w:t>Retailers (may be sold warm and available in large volume containers and multi-packs).</w:t>
      </w:r>
    </w:p>
    <w:p w14:paraId="62B01803" w14:textId="77777777" w:rsidR="00022915" w:rsidRDefault="00022915" w:rsidP="00022915">
      <w:r>
        <w:t>The report concluded that elasticities range from 0.81 for sugar-sweetened beverages to 1.17 for water. However, these estimates of elasticity are of limited value when considering the demand impacts for a CDS, because:</w:t>
      </w:r>
    </w:p>
    <w:p w14:paraId="18961531" w14:textId="77777777" w:rsidR="00022915" w:rsidRDefault="00022915" w:rsidP="00022915">
      <w:pPr>
        <w:pStyle w:val="Bullets1stindent"/>
      </w:pPr>
      <w:r>
        <w:t>the net price change associated with a CDS (net of refund) is much smaller than the price changes that have typically been modelled for sugar taxes;</w:t>
      </w:r>
    </w:p>
    <w:p w14:paraId="50B7B412" w14:textId="77777777" w:rsidR="00022915" w:rsidRDefault="00022915" w:rsidP="00022915">
      <w:pPr>
        <w:pStyle w:val="Bullets1stindent"/>
      </w:pPr>
      <w:r>
        <w:t>the price signal from a CDS is confounded by the consumers ability to redeem the deposit; and</w:t>
      </w:r>
    </w:p>
    <w:p w14:paraId="3283E404" w14:textId="77777777" w:rsidR="00022915" w:rsidRDefault="00022915" w:rsidP="00022915">
      <w:pPr>
        <w:pStyle w:val="Bullets1stindent"/>
      </w:pPr>
      <w:r>
        <w:t>most importantly the cost impact of a sugar tax would only be on some beverages – those containing sugar.  This means that diet beverages and sugar free beverages (such as water) would not be impacted, and so customers might be encouraged to switch from a beverage with sugar to a diet version of the same product.  In contrast, a CDS will impact on almost all beverages that would be considered an alternative choice. This suggest a much lower elasticity for containers generally, which is consistent with our assumptions.</w:t>
      </w:r>
    </w:p>
    <w:p w14:paraId="08CF4041" w14:textId="77777777" w:rsidR="00022915" w:rsidRDefault="00022915" w:rsidP="00022915">
      <w:pPr>
        <w:pStyle w:val="Heading4"/>
      </w:pPr>
      <w:r>
        <w:t>Conclusion</w:t>
      </w:r>
    </w:p>
    <w:p w14:paraId="11E0A614" w14:textId="77777777" w:rsidR="00022915" w:rsidRDefault="00022915" w:rsidP="00022915">
      <w:r>
        <w:t>The two studies specific to CDSs confirm that it is difficult to identify a precise elasticity of demand and suggest that demand is inelastic. It is noted that the effect is unlikely to be uniform as different segments of the market will be affected largely to the degree consumers may shift to different (less costly) containers. In particular, multi-packs of beverages, such as sold in a supermarket, may be impacted more than the sale of individual containers.  For example, rather than buying six cans of soft drink (incurring 60 cents in deposit) a single two litre bottle would contain a similar volume of product and only incur 10 cents in deposit.  This form of substitution would appear to have limited impact on consumer surplus or on producers.</w:t>
      </w:r>
    </w:p>
    <w:p w14:paraId="72500409" w14:textId="77777777" w:rsidR="00022915" w:rsidRPr="00D67FDF" w:rsidRDefault="00022915" w:rsidP="00022915">
      <w:pPr>
        <w:pStyle w:val="Heading3"/>
      </w:pPr>
      <w:r w:rsidRPr="00D67FDF">
        <w:t>Avoided landfill externalities</w:t>
      </w:r>
      <w:bookmarkEnd w:id="230"/>
    </w:p>
    <w:p w14:paraId="02B7C502" w14:textId="77777777" w:rsidR="00022915" w:rsidRPr="00C849BD" w:rsidRDefault="00022915" w:rsidP="00022915">
      <w:r w:rsidRPr="00C849BD">
        <w:t>Two types of avoided landfill externalities were included in the analysis:</w:t>
      </w:r>
    </w:p>
    <w:p w14:paraId="5F0D9B64" w14:textId="77777777" w:rsidR="00022915" w:rsidRPr="00E077D4" w:rsidRDefault="00022915" w:rsidP="00022915">
      <w:pPr>
        <w:pStyle w:val="Bullets1stindent"/>
        <w:keepNext/>
        <w:spacing w:before="60" w:line="240" w:lineRule="auto"/>
      </w:pPr>
      <w:r w:rsidRPr="00C849BD">
        <w:t xml:space="preserve">avoided </w:t>
      </w:r>
      <w:r w:rsidRPr="00E077D4">
        <w:t>greenhouse gas emissions</w:t>
      </w:r>
      <w:r>
        <w:t xml:space="preserve"> (which are low for beverage containers)</w:t>
      </w:r>
      <w:r w:rsidRPr="00E077D4">
        <w:t>; and</w:t>
      </w:r>
    </w:p>
    <w:p w14:paraId="280F37FA" w14:textId="77777777" w:rsidR="00022915" w:rsidRDefault="00022915" w:rsidP="00022915">
      <w:pPr>
        <w:pStyle w:val="Bullets1stindent"/>
        <w:spacing w:before="60" w:line="240" w:lineRule="auto"/>
      </w:pPr>
      <w:r w:rsidRPr="00E077D4">
        <w:t>other avoided landfill externalities, including other emissions and dis-amenity.</w:t>
      </w:r>
    </w:p>
    <w:p w14:paraId="6AE34AD5" w14:textId="77777777" w:rsidR="00022915" w:rsidRPr="00222881" w:rsidRDefault="00022915" w:rsidP="00022915">
      <w:pPr>
        <w:pStyle w:val="Bullets1stindent"/>
        <w:numPr>
          <w:ilvl w:val="0"/>
          <w:numId w:val="0"/>
        </w:numPr>
        <w:spacing w:before="60" w:line="240" w:lineRule="auto"/>
      </w:pPr>
      <w:r>
        <w:t xml:space="preserve">As </w:t>
      </w:r>
      <w:r w:rsidRPr="00222881">
        <w:t>noted in the body of the report, one respondent to the Consultation RIS (WALGA) identified a Western Australian estimate of the landfill externality.  However, as this value is not specific to beverage containers, it was not considered a better estimate than the current values used.</w:t>
      </w:r>
    </w:p>
    <w:p w14:paraId="2CBAC57E" w14:textId="77777777" w:rsidR="00022915" w:rsidRPr="00222881" w:rsidRDefault="00022915" w:rsidP="00022915">
      <w:pPr>
        <w:pStyle w:val="Heading4"/>
      </w:pPr>
      <w:r w:rsidRPr="00222881">
        <w:t>Greenhouse gas emissions reductions</w:t>
      </w:r>
    </w:p>
    <w:p w14:paraId="14372CD9" w14:textId="77777777" w:rsidR="00022915" w:rsidRPr="00222881" w:rsidRDefault="00022915" w:rsidP="00022915">
      <w:r w:rsidRPr="00222881">
        <w:t>The average externality costs of greenhouse gas emissions reductions for a given region depend on several factors:</w:t>
      </w:r>
      <w:r w:rsidRPr="00222881">
        <w:rPr>
          <w:rStyle w:val="FootnoteReference"/>
        </w:rPr>
        <w:footnoteReference w:id="68"/>
      </w:r>
    </w:p>
    <w:p w14:paraId="23C02B8B" w14:textId="77777777" w:rsidR="00022915" w:rsidRPr="00222881" w:rsidRDefault="00022915" w:rsidP="00022915">
      <w:pPr>
        <w:pStyle w:val="Bullets1stindent"/>
        <w:spacing w:before="60" w:line="240" w:lineRule="auto"/>
      </w:pPr>
      <w:r w:rsidRPr="00222881">
        <w:t>the extent of landfill gas capture at landfills;</w:t>
      </w:r>
    </w:p>
    <w:p w14:paraId="1E533B81" w14:textId="77777777" w:rsidR="00022915" w:rsidRPr="00222881" w:rsidRDefault="00022915" w:rsidP="00022915">
      <w:pPr>
        <w:pStyle w:val="Bullets1stindent"/>
        <w:spacing w:before="60" w:line="240" w:lineRule="auto"/>
      </w:pPr>
      <w:r w:rsidRPr="00222881">
        <w:t>the average efficiency rate of landfill gas capture;</w:t>
      </w:r>
    </w:p>
    <w:p w14:paraId="7A1E8CB1" w14:textId="77777777" w:rsidR="00022915" w:rsidRPr="00222881" w:rsidRDefault="00022915" w:rsidP="00022915">
      <w:pPr>
        <w:pStyle w:val="Bullets1stindent"/>
        <w:spacing w:before="60" w:line="240" w:lineRule="auto"/>
      </w:pPr>
      <w:r w:rsidRPr="00222881">
        <w:t>the ‘emissions factor’ of the material being deposited in landfill; and</w:t>
      </w:r>
    </w:p>
    <w:p w14:paraId="0108516C" w14:textId="77777777" w:rsidR="00022915" w:rsidRPr="00C849BD" w:rsidRDefault="00022915" w:rsidP="00022915">
      <w:pPr>
        <w:pStyle w:val="Bullets1stindent"/>
        <w:spacing w:before="60" w:line="240" w:lineRule="auto"/>
      </w:pPr>
      <w:r w:rsidRPr="00222881">
        <w:t>the monetary value of environmental</w:t>
      </w:r>
      <w:r w:rsidRPr="00C849BD">
        <w:t xml:space="preserve"> damage caused by </w:t>
      </w:r>
      <w:r>
        <w:t>greenhouse gasses</w:t>
      </w:r>
      <w:r w:rsidRPr="00C849BD">
        <w:t>.</w:t>
      </w:r>
    </w:p>
    <w:p w14:paraId="37285E19" w14:textId="77777777" w:rsidR="00022915" w:rsidRPr="00D21291" w:rsidRDefault="00022915" w:rsidP="00022915">
      <w:r w:rsidRPr="00C849BD">
        <w:t xml:space="preserve">The </w:t>
      </w:r>
      <w:r>
        <w:t>cost-benefit analysis</w:t>
      </w:r>
      <w:r w:rsidRPr="00C849BD">
        <w:t xml:space="preserve"> drew</w:t>
      </w:r>
      <w:r>
        <w:t xml:space="preserve"> on</w:t>
      </w:r>
      <w:r w:rsidRPr="00C849BD">
        <w:t xml:space="preserve"> previous analysis </w:t>
      </w:r>
      <w:r>
        <w:t>that</w:t>
      </w:r>
      <w:r w:rsidRPr="00C849BD">
        <w:t xml:space="preserve"> derived a specific externality cost for </w:t>
      </w:r>
      <w:r>
        <w:t>greenhouse gasses</w:t>
      </w:r>
      <w:r w:rsidRPr="00C849BD">
        <w:t xml:space="preserve"> based on the region in which </w:t>
      </w:r>
      <w:r w:rsidRPr="00D21291">
        <w:t xml:space="preserve">a tonne of </w:t>
      </w:r>
      <w:r>
        <w:t xml:space="preserve">given </w:t>
      </w:r>
      <w:r w:rsidRPr="00D21291">
        <w:t>material is being deposited and the material type</w:t>
      </w:r>
      <w:r w:rsidRPr="00137AEF">
        <w:t xml:space="preserve"> </w:t>
      </w:r>
      <w:r>
        <w:t>(MJA 2013).</w:t>
      </w:r>
      <w:r w:rsidRPr="00D21291">
        <w:t xml:space="preserve"> In </w:t>
      </w:r>
      <w:r>
        <w:t>Western Australia</w:t>
      </w:r>
      <w:r w:rsidRPr="00D21291">
        <w:t xml:space="preserve">, it is assumed that the proportion of </w:t>
      </w:r>
      <w:r>
        <w:t>greenhouse gasses</w:t>
      </w:r>
      <w:r w:rsidRPr="00D21291">
        <w:t xml:space="preserve"> to which emissions f</w:t>
      </w:r>
      <w:r>
        <w:t>act</w:t>
      </w:r>
      <w:r w:rsidRPr="00D21291">
        <w:t>ors and environmental values should apply is 40</w:t>
      </w:r>
      <w:r>
        <w:t xml:space="preserve"> per cent for urban Western Australia and 96 per cent for regional and remote Western Australia.</w:t>
      </w:r>
      <w:r w:rsidRPr="001D3BCC">
        <w:t xml:space="preserve"> </w:t>
      </w:r>
      <w:r w:rsidRPr="00D21291">
        <w:t xml:space="preserve">This is consistent with the value used </w:t>
      </w:r>
      <w:r>
        <w:t>in D</w:t>
      </w:r>
      <w:r w:rsidRPr="00D21291">
        <w:t>ecision RIS</w:t>
      </w:r>
      <w:r>
        <w:t xml:space="preserve"> for New South Wales’</w:t>
      </w:r>
      <w:r w:rsidRPr="00D21291">
        <w:t xml:space="preserve"> CDS.</w:t>
      </w:r>
    </w:p>
    <w:p w14:paraId="22AEB1F6" w14:textId="77777777" w:rsidR="00022915" w:rsidRPr="00823F3B" w:rsidRDefault="00022915" w:rsidP="00022915">
      <w:r w:rsidRPr="00D21291">
        <w:t>Valuing the environmental benefit of reductions in</w:t>
      </w:r>
      <w:r w:rsidRPr="00C849BD">
        <w:t xml:space="preserve"> </w:t>
      </w:r>
      <w:r>
        <w:t>greenhouse gasses</w:t>
      </w:r>
      <w:r w:rsidRPr="00C849BD">
        <w:t xml:space="preserve"> is a highly contested issue</w:t>
      </w:r>
      <w:r>
        <w:t>,</w:t>
      </w:r>
      <w:r w:rsidRPr="00C849BD">
        <w:t xml:space="preserve"> and there are several possible approaches. </w:t>
      </w:r>
      <w:r>
        <w:t xml:space="preserve"> At</w:t>
      </w:r>
      <w:r w:rsidRPr="00C849BD">
        <w:t xml:space="preserve"> one end of the spectrum, it is argued that Australia’s </w:t>
      </w:r>
      <w:r>
        <w:t>greenhouse gas</w:t>
      </w:r>
      <w:r w:rsidRPr="00C849BD">
        <w:t xml:space="preserve"> emissions </w:t>
      </w:r>
      <w:r>
        <w:t>make</w:t>
      </w:r>
      <w:r w:rsidRPr="00C849BD">
        <w:t xml:space="preserve"> a min</w:t>
      </w:r>
      <w:r>
        <w:t>u</w:t>
      </w:r>
      <w:r w:rsidRPr="00C849BD">
        <w:t>scule contribution to global emissions</w:t>
      </w:r>
      <w:r>
        <w:t>,</w:t>
      </w:r>
      <w:r w:rsidRPr="00C849BD">
        <w:t xml:space="preserve"> and </w:t>
      </w:r>
      <w:r>
        <w:t xml:space="preserve">that </w:t>
      </w:r>
      <w:r w:rsidRPr="00C849BD">
        <w:t>the latter are more important when considering global warming and associated welfare losses.</w:t>
      </w:r>
      <w:r>
        <w:t xml:space="preserve"> </w:t>
      </w:r>
      <w:r w:rsidRPr="00C849BD">
        <w:t xml:space="preserve"> At the other end of the spectrum, preliminary estimates of the marginal social cost of carbon in</w:t>
      </w:r>
      <w:r>
        <w:t xml:space="preserve"> the United Kingdom</w:t>
      </w:r>
      <w:r w:rsidRPr="004B759A">
        <w:t xml:space="preserve">’s </w:t>
      </w:r>
      <w:r>
        <w:t xml:space="preserve">2006 </w:t>
      </w:r>
      <w:r w:rsidRPr="000F23FA">
        <w:t>Stern</w:t>
      </w:r>
      <w:r>
        <w:t xml:space="preserve"> review were US</w:t>
      </w:r>
      <w:r w:rsidRPr="00C849BD">
        <w:t>$85</w:t>
      </w:r>
      <w:r>
        <w:t xml:space="preserve"> per tonne CO</w:t>
      </w:r>
      <w:r w:rsidRPr="000F23FA">
        <w:rPr>
          <w:vertAlign w:val="subscript"/>
        </w:rPr>
        <w:t>2</w:t>
      </w:r>
      <w:r>
        <w:t>e (</w:t>
      </w:r>
      <w:r w:rsidRPr="00C849BD">
        <w:t>tCO</w:t>
      </w:r>
      <w:r w:rsidRPr="000F23FA">
        <w:rPr>
          <w:vertAlign w:val="subscript"/>
        </w:rPr>
        <w:t>2</w:t>
      </w:r>
      <w:r w:rsidRPr="00C849BD">
        <w:t>e</w:t>
      </w:r>
      <w:r>
        <w:t>)</w:t>
      </w:r>
      <w:r w:rsidRPr="00137AEF">
        <w:t xml:space="preserve"> </w:t>
      </w:r>
      <w:r>
        <w:t>(Stern 2006)</w:t>
      </w:r>
      <w:r w:rsidRPr="00C849BD">
        <w:t>. However, the review’s methodology</w:t>
      </w:r>
      <w:r>
        <w:t xml:space="preserve"> (</w:t>
      </w:r>
      <w:r w:rsidRPr="00C849BD">
        <w:t xml:space="preserve">notably </w:t>
      </w:r>
      <w:r>
        <w:t>its</w:t>
      </w:r>
      <w:r w:rsidRPr="00C849BD">
        <w:t xml:space="preserve"> use of a very low discount rate</w:t>
      </w:r>
      <w:r>
        <w:t>)</w:t>
      </w:r>
      <w:r w:rsidRPr="003E0CEB">
        <w:t xml:space="preserve"> </w:t>
      </w:r>
      <w:r w:rsidRPr="00C849BD">
        <w:t>drew some criticism. The</w:t>
      </w:r>
      <w:r>
        <w:t> </w:t>
      </w:r>
      <w:r w:rsidRPr="00C849BD">
        <w:t xml:space="preserve">forecast cost of abatement and the traded market price of carbon permits in Australia may also serve as proxies for the value of changes to </w:t>
      </w:r>
      <w:r>
        <w:t>greenhouse gas</w:t>
      </w:r>
      <w:r w:rsidRPr="00C849BD">
        <w:t xml:space="preserve"> emissions. </w:t>
      </w:r>
      <w:r>
        <w:t xml:space="preserve"> </w:t>
      </w:r>
      <w:r w:rsidRPr="00C849BD">
        <w:t xml:space="preserve">The </w:t>
      </w:r>
      <w:r>
        <w:t>cost of abatement</w:t>
      </w:r>
      <w:r w:rsidRPr="00C849BD">
        <w:t xml:space="preserve"> is expected to increase in line with increasingly stringent pollution caps, ranging from approximately $30</w:t>
      </w:r>
      <w:r>
        <w:t>/</w:t>
      </w:r>
      <w:r w:rsidRPr="00C849BD">
        <w:t>tCO</w:t>
      </w:r>
      <w:r w:rsidRPr="000F23FA">
        <w:rPr>
          <w:vertAlign w:val="subscript"/>
        </w:rPr>
        <w:t>2</w:t>
      </w:r>
      <w:r w:rsidRPr="00C849BD">
        <w:t>e to approximately $1</w:t>
      </w:r>
      <w:r w:rsidRPr="00823F3B">
        <w:t>50</w:t>
      </w:r>
      <w:r>
        <w:t>/</w:t>
      </w:r>
      <w:r w:rsidRPr="00445809">
        <w:t>tCO</w:t>
      </w:r>
      <w:r w:rsidRPr="000F23FA">
        <w:rPr>
          <w:vertAlign w:val="subscript"/>
        </w:rPr>
        <w:t>2</w:t>
      </w:r>
      <w:r w:rsidRPr="00445809">
        <w:t>e</w:t>
      </w:r>
      <w:r>
        <w:t xml:space="preserve">, according to modelling by the </w:t>
      </w:r>
      <w:r w:rsidRPr="000F23FA">
        <w:t>Australian Treasury</w:t>
      </w:r>
      <w:r>
        <w:t xml:space="preserve"> (2011)</w:t>
      </w:r>
      <w:r w:rsidRPr="00823F3B">
        <w:t>.</w:t>
      </w:r>
      <w:r w:rsidRPr="007332B3">
        <w:rPr>
          <w:vertAlign w:val="superscript"/>
        </w:rPr>
        <w:t xml:space="preserve"> </w:t>
      </w:r>
      <w:r>
        <w:rPr>
          <w:vertAlign w:val="superscript"/>
        </w:rPr>
        <w:t xml:space="preserve"> </w:t>
      </w:r>
      <w:r w:rsidRPr="00823F3B">
        <w:t xml:space="preserve">The </w:t>
      </w:r>
      <w:r>
        <w:t>traded price of carbon permits</w:t>
      </w:r>
      <w:r w:rsidRPr="00823F3B">
        <w:t xml:space="preserve"> will be heavily influenced by the expected price of carbon in </w:t>
      </w:r>
      <w:r>
        <w:t xml:space="preserve">the </w:t>
      </w:r>
      <w:r w:rsidRPr="00823F3B">
        <w:t>European Union Emissions Trading Scheme, which is uncertain, although current permits</w:t>
      </w:r>
      <w:r>
        <w:t xml:space="preserve"> under that scheme</w:t>
      </w:r>
      <w:r w:rsidRPr="00823F3B">
        <w:t xml:space="preserve"> are trading at approximately $10</w:t>
      </w:r>
      <w:r>
        <w:t>/</w:t>
      </w:r>
      <w:r w:rsidRPr="00823F3B">
        <w:t>tCO</w:t>
      </w:r>
      <w:r w:rsidRPr="000F23FA">
        <w:rPr>
          <w:vertAlign w:val="subscript"/>
        </w:rPr>
        <w:t>2</w:t>
      </w:r>
      <w:r w:rsidRPr="00823F3B">
        <w:t>e or less.</w:t>
      </w:r>
    </w:p>
    <w:p w14:paraId="22EDF73F" w14:textId="77777777" w:rsidR="00022915" w:rsidRPr="00C849BD" w:rsidRDefault="00022915" w:rsidP="00022915">
      <w:r w:rsidRPr="00823F3B">
        <w:t xml:space="preserve">The estimate used in the </w:t>
      </w:r>
      <w:r>
        <w:t>cost-benefit analysis</w:t>
      </w:r>
      <w:r w:rsidRPr="00823F3B">
        <w:t xml:space="preserve">, consistent </w:t>
      </w:r>
      <w:r w:rsidRPr="00445809">
        <w:t xml:space="preserve">with </w:t>
      </w:r>
      <w:r w:rsidRPr="000F23FA">
        <w:t>Australian Treasury</w:t>
      </w:r>
      <w:r>
        <w:t xml:space="preserve"> modelling (2011),</w:t>
      </w:r>
      <w:r w:rsidRPr="00445809">
        <w:t xml:space="preserve"> is a value</w:t>
      </w:r>
      <w:r w:rsidRPr="00C849BD">
        <w:t xml:space="preserve"> of $30</w:t>
      </w:r>
      <w:r>
        <w:t>/</w:t>
      </w:r>
      <w:r w:rsidRPr="00C849BD">
        <w:t>tCO</w:t>
      </w:r>
      <w:r w:rsidRPr="000F23FA">
        <w:rPr>
          <w:vertAlign w:val="subscript"/>
        </w:rPr>
        <w:t>2</w:t>
      </w:r>
      <w:r w:rsidRPr="00C849BD">
        <w:t>e</w:t>
      </w:r>
      <w:r>
        <w:t>, adjusted for inflation</w:t>
      </w:r>
      <w:r w:rsidRPr="00C849BD">
        <w:t>.</w:t>
      </w:r>
    </w:p>
    <w:p w14:paraId="1E32ED4D" w14:textId="77777777" w:rsidR="00022915" w:rsidRPr="00C849BD" w:rsidRDefault="00022915" w:rsidP="00022915">
      <w:r w:rsidRPr="00C849BD">
        <w:t>The analysis also assume</w:t>
      </w:r>
      <w:r>
        <w:t>s</w:t>
      </w:r>
      <w:r w:rsidRPr="00C849BD">
        <w:t xml:space="preserve"> that only liquid paperboard containers would emit </w:t>
      </w:r>
      <w:r>
        <w:t>greenhouse gasses</w:t>
      </w:r>
      <w:r w:rsidRPr="00C849BD">
        <w:t xml:space="preserve"> if they were landfilled, as all other container types are inert from a </w:t>
      </w:r>
      <w:r>
        <w:t>greenhouse gas</w:t>
      </w:r>
      <w:r w:rsidRPr="00C849BD">
        <w:t xml:space="preserve"> perspective.</w:t>
      </w:r>
      <w:r>
        <w:t xml:space="preserve"> </w:t>
      </w:r>
      <w:r w:rsidRPr="00C849BD">
        <w:t xml:space="preserve">As a result, the incremental </w:t>
      </w:r>
      <w:r>
        <w:t>greenhouse gas</w:t>
      </w:r>
      <w:r w:rsidRPr="00C849BD">
        <w:t xml:space="preserve"> benefit from the diversion of containers under the CDS is very small because liquid paperboard </w:t>
      </w:r>
      <w:r>
        <w:t>makes up</w:t>
      </w:r>
      <w:r w:rsidRPr="00C849BD">
        <w:t xml:space="preserve"> only </w:t>
      </w:r>
      <w:r>
        <w:t>1</w:t>
      </w:r>
      <w:r w:rsidRPr="00C849BD">
        <w:t>% of the beverage container universe (by tonnage).</w:t>
      </w:r>
    </w:p>
    <w:p w14:paraId="22C66C68" w14:textId="77777777" w:rsidR="00022915" w:rsidRPr="003B20DA" w:rsidRDefault="00022915" w:rsidP="00022915">
      <w:pPr>
        <w:pStyle w:val="Heading4"/>
      </w:pPr>
      <w:r w:rsidRPr="003B20DA">
        <w:t>Other air emissions</w:t>
      </w:r>
    </w:p>
    <w:p w14:paraId="3139858F" w14:textId="77777777" w:rsidR="00022915" w:rsidRPr="001B0633" w:rsidRDefault="00022915" w:rsidP="00022915">
      <w:r w:rsidRPr="001B0633">
        <w:t xml:space="preserve">The </w:t>
      </w:r>
      <w:r>
        <w:t>cost-benefit analysis</w:t>
      </w:r>
      <w:r w:rsidRPr="001B0633">
        <w:t xml:space="preserve"> assumed that </w:t>
      </w:r>
      <w:r>
        <w:t xml:space="preserve">the </w:t>
      </w:r>
      <w:r w:rsidRPr="001B0633">
        <w:t>diversion of waste from landfills will also deliver air emission</w:t>
      </w:r>
      <w:r>
        <w:t>s</w:t>
      </w:r>
      <w:r w:rsidRPr="001B0633">
        <w:t xml:space="preserve"> benefits. Externality costs for other air emissions (excluding </w:t>
      </w:r>
      <w:r>
        <w:t>greenhouse gasses</w:t>
      </w:r>
      <w:r w:rsidRPr="001B0633">
        <w:t xml:space="preserve">) were derived from </w:t>
      </w:r>
      <w:r>
        <w:t xml:space="preserve">the 2010 </w:t>
      </w:r>
      <w:r w:rsidRPr="00A818D0">
        <w:rPr>
          <w:i/>
        </w:rPr>
        <w:t>Review of the application of landfill standards</w:t>
      </w:r>
      <w:r w:rsidRPr="001B0633">
        <w:t xml:space="preserve"> and </w:t>
      </w:r>
      <w:r>
        <w:t>we</w:t>
      </w:r>
      <w:r w:rsidRPr="001B0633">
        <w:t>re assumed to be $0.</w:t>
      </w:r>
      <w:r>
        <w:t>23/</w:t>
      </w:r>
      <w:r w:rsidRPr="001B0633">
        <w:t>tonne</w:t>
      </w:r>
      <w:r>
        <w:t xml:space="preserve"> (urban) and $0.28/tonne (regional/remote)</w:t>
      </w:r>
      <w:r w:rsidRPr="00135EA6">
        <w:t xml:space="preserve"> </w:t>
      </w:r>
      <w:r>
        <w:t>(WCS 2010).</w:t>
      </w:r>
    </w:p>
    <w:p w14:paraId="06C58623" w14:textId="77777777" w:rsidR="00022915" w:rsidRPr="00E077D4" w:rsidRDefault="00022915" w:rsidP="00022915">
      <w:pPr>
        <w:pStyle w:val="Heading4"/>
      </w:pPr>
      <w:r w:rsidRPr="00E077D4">
        <w:t>Leachate</w:t>
      </w:r>
    </w:p>
    <w:p w14:paraId="62B78F41" w14:textId="77777777" w:rsidR="00022915" w:rsidRPr="00E077D4" w:rsidRDefault="00022915" w:rsidP="00022915">
      <w:r w:rsidRPr="00E077D4">
        <w:t xml:space="preserve">Consistent with previous analysis, including the 2017 </w:t>
      </w:r>
      <w:r>
        <w:t>New South Sales</w:t>
      </w:r>
      <w:r w:rsidRPr="00E077D4">
        <w:t xml:space="preserve"> CDS </w:t>
      </w:r>
      <w:r>
        <w:t>D</w:t>
      </w:r>
      <w:r w:rsidRPr="00E077D4">
        <w:t xml:space="preserve">ecision RIS, leachate costs are assumed to be negligible. In part, this stems from the generally low level of hazardous materials in beverage containers susceptible to causing leachate. In any case, leachate control is now generally well established in landfills, especially in metropolitan areas. Therefore, the </w:t>
      </w:r>
      <w:r>
        <w:t>cost-benefit analysis</w:t>
      </w:r>
      <w:r w:rsidRPr="00E077D4">
        <w:t xml:space="preserve"> model assumes no externality cost for leachate.</w:t>
      </w:r>
    </w:p>
    <w:p w14:paraId="36FFA6B3" w14:textId="77777777" w:rsidR="00022915" w:rsidRPr="00E077D4" w:rsidRDefault="00022915" w:rsidP="00022915">
      <w:pPr>
        <w:pStyle w:val="Heading4"/>
      </w:pPr>
      <w:r w:rsidRPr="00E077D4">
        <w:t>Dis-amenity</w:t>
      </w:r>
    </w:p>
    <w:p w14:paraId="08AB050F" w14:textId="77777777" w:rsidR="00022915" w:rsidRPr="001B0633" w:rsidRDefault="00022915" w:rsidP="00022915">
      <w:r w:rsidRPr="00E077D4">
        <w:t>The diversion of waste from landfills is also assumed to result in avoided dis-amenity benefits. The avoided dis-amenity benefits are assumed to be $1.17/tonne (urban) and $1.65/tonne</w:t>
      </w:r>
      <w:r>
        <w:t xml:space="preserve"> (regional/remote)</w:t>
      </w:r>
      <w:r w:rsidRPr="001B0633">
        <w:t>. Th</w:t>
      </w:r>
      <w:r>
        <w:t>is</w:t>
      </w:r>
      <w:r w:rsidRPr="001B0633">
        <w:t xml:space="preserve"> estimate w</w:t>
      </w:r>
      <w:r>
        <w:t>as</w:t>
      </w:r>
      <w:r w:rsidRPr="001B0633">
        <w:t xml:space="preserve"> derived by considering litter and odour management </w:t>
      </w:r>
      <w:r>
        <w:t>practices</w:t>
      </w:r>
      <w:r w:rsidRPr="001B0633">
        <w:t xml:space="preserve"> derived from</w:t>
      </w:r>
      <w:r>
        <w:t xml:space="preserve"> the 2010 </w:t>
      </w:r>
      <w:r w:rsidRPr="000B62E3">
        <w:rPr>
          <w:i/>
        </w:rPr>
        <w:t>Review of the application of landfill standards</w:t>
      </w:r>
      <w:r w:rsidRPr="00135EA6">
        <w:t xml:space="preserve"> </w:t>
      </w:r>
      <w:r>
        <w:t>(WCS 2010).</w:t>
      </w:r>
    </w:p>
    <w:p w14:paraId="23EDD6BC" w14:textId="77777777" w:rsidR="00022915" w:rsidRPr="00D67FDF" w:rsidRDefault="00022915" w:rsidP="00022915">
      <w:pPr>
        <w:pStyle w:val="Heading3"/>
      </w:pPr>
      <w:bookmarkStart w:id="238" w:name="_Toc499821557"/>
      <w:r w:rsidRPr="00D67FDF">
        <w:t>Household participation</w:t>
      </w:r>
      <w:bookmarkEnd w:id="238"/>
    </w:p>
    <w:p w14:paraId="7653AC4E" w14:textId="77777777" w:rsidR="00022915" w:rsidRPr="001B0633" w:rsidRDefault="00022915" w:rsidP="00022915">
      <w:r w:rsidRPr="001B0633">
        <w:t xml:space="preserve">The material flow analysis assumes that </w:t>
      </w:r>
      <w:r>
        <w:t>five per cent</w:t>
      </w:r>
      <w:r w:rsidRPr="001B0633">
        <w:t xml:space="preserve"> of containers that are consumed at home are diverted from kerbside recycling at the start of the CDS (in 2018), increasing to 40</w:t>
      </w:r>
      <w:r>
        <w:t> per cent</w:t>
      </w:r>
      <w:r w:rsidRPr="001B0633">
        <w:t xml:space="preserve"> by </w:t>
      </w:r>
      <w:r w:rsidRPr="004A57C9">
        <w:t>2027 (MJA, 2013).</w:t>
      </w:r>
      <w:r w:rsidRPr="001B0633">
        <w:t xml:space="preserve"> </w:t>
      </w:r>
    </w:p>
    <w:p w14:paraId="03062D84" w14:textId="77777777" w:rsidR="00022915" w:rsidRDefault="00022915" w:rsidP="00022915">
      <w:r w:rsidRPr="001B0633">
        <w:t xml:space="preserve">In the </w:t>
      </w:r>
      <w:r>
        <w:t>cost-benefit analysis,</w:t>
      </w:r>
      <w:r w:rsidRPr="001B0633">
        <w:t xml:space="preserve"> households face participation costs due to the time it takes to accumulate beverage containers and transport them to </w:t>
      </w:r>
      <w:r>
        <w:t>refund</w:t>
      </w:r>
      <w:r w:rsidRPr="001B0633">
        <w:t xml:space="preserve"> points. </w:t>
      </w:r>
      <w:r>
        <w:t xml:space="preserve"> </w:t>
      </w:r>
      <w:r w:rsidRPr="001B0633">
        <w:t>These costs are divided into four main subcategories</w:t>
      </w:r>
      <w:r>
        <w:t xml:space="preserve">: </w:t>
      </w:r>
      <w:r w:rsidRPr="001B0633">
        <w:t>accumulation time, vehicle operating costs, in</w:t>
      </w:r>
      <w:r>
        <w:noBreakHyphen/>
      </w:r>
      <w:r w:rsidRPr="001B0633">
        <w:t>vehicle travel time</w:t>
      </w:r>
      <w:r>
        <w:t>,</w:t>
      </w:r>
      <w:r w:rsidRPr="001B0633">
        <w:t xml:space="preserve"> and container deposit redemption time.</w:t>
      </w:r>
      <w:r>
        <w:t xml:space="preserve"> </w:t>
      </w:r>
      <w:r w:rsidRPr="001B0633">
        <w:t xml:space="preserve"> The estimated values are summarised </w:t>
      </w:r>
      <w:r w:rsidRPr="007332B3">
        <w:t xml:space="preserve">in </w:t>
      </w:r>
      <w:r w:rsidRPr="007332B3">
        <w:fldChar w:fldCharType="begin"/>
      </w:r>
      <w:r w:rsidRPr="007332B3">
        <w:instrText xml:space="preserve"> REF _Ref499294175 \h </w:instrText>
      </w:r>
      <w:r>
        <w:instrText xml:space="preserve"> \* MERGEFORMAT </w:instrText>
      </w:r>
      <w:r w:rsidRPr="007332B3">
        <w:fldChar w:fldCharType="separate"/>
      </w:r>
      <w:r w:rsidRPr="00AB6B66">
        <w:t xml:space="preserve">Table </w:t>
      </w:r>
      <w:r>
        <w:rPr>
          <w:noProof/>
        </w:rPr>
        <w:t>19</w:t>
      </w:r>
      <w:r w:rsidRPr="007332B3">
        <w:fldChar w:fldCharType="end"/>
      </w:r>
      <w:r w:rsidRPr="007332B3">
        <w:t>.</w:t>
      </w:r>
    </w:p>
    <w:p w14:paraId="1F0CDA20" w14:textId="77777777" w:rsidR="00022915" w:rsidRDefault="00022915" w:rsidP="00022915">
      <w:pPr>
        <w:pStyle w:val="Caption"/>
      </w:pPr>
      <w:bookmarkStart w:id="239" w:name="_Ref499294175"/>
      <w:bookmarkStart w:id="240" w:name="_Toc10031228"/>
      <w:bookmarkStart w:id="241" w:name="_Toc500154287"/>
      <w:bookmarkStart w:id="242" w:name="_Toc506552697"/>
      <w:r w:rsidRPr="00AB6B66">
        <w:t xml:space="preserve">Table </w:t>
      </w:r>
      <w:r w:rsidR="00CF34D3">
        <w:rPr>
          <w:noProof/>
        </w:rPr>
        <w:fldChar w:fldCharType="begin"/>
      </w:r>
      <w:r w:rsidR="00CF34D3">
        <w:rPr>
          <w:noProof/>
        </w:rPr>
        <w:instrText xml:space="preserve"> SEQ Table \* ARABIC </w:instrText>
      </w:r>
      <w:r w:rsidR="00CF34D3">
        <w:rPr>
          <w:noProof/>
        </w:rPr>
        <w:fldChar w:fldCharType="separate"/>
      </w:r>
      <w:r>
        <w:rPr>
          <w:noProof/>
        </w:rPr>
        <w:t>19</w:t>
      </w:r>
      <w:r w:rsidR="00CF34D3">
        <w:rPr>
          <w:noProof/>
        </w:rPr>
        <w:fldChar w:fldCharType="end"/>
      </w:r>
      <w:bookmarkEnd w:id="239"/>
      <w:r w:rsidRPr="00AB6B66">
        <w:t xml:space="preserve">: Consumer </w:t>
      </w:r>
      <w:r w:rsidRPr="00B10B50">
        <w:t>participation</w:t>
      </w:r>
      <w:r w:rsidRPr="00AB6B66">
        <w:t xml:space="preserve"> cost</w:t>
      </w:r>
      <w:bookmarkEnd w:id="240"/>
      <w:r w:rsidRPr="00AB6B66">
        <w:t xml:space="preserve"> </w:t>
      </w:r>
      <w:bookmarkEnd w:id="241"/>
      <w:bookmarkEnd w:id="24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sumer participation cost "/>
        <w:tblDescription w:val="Summary of the assumptions used in the development of the economic model and the basis for each estimate."/>
      </w:tblPr>
      <w:tblGrid>
        <w:gridCol w:w="1961"/>
        <w:gridCol w:w="2662"/>
        <w:gridCol w:w="4449"/>
      </w:tblGrid>
      <w:tr w:rsidR="00022915" w:rsidRPr="006A5DB5" w14:paraId="6E36EAFA" w14:textId="77777777" w:rsidTr="00C53AB1">
        <w:trPr>
          <w:trHeight w:val="299"/>
          <w:tblHeader/>
        </w:trPr>
        <w:tc>
          <w:tcPr>
            <w:tcW w:w="1081" w:type="pct"/>
            <w:shd w:val="clear" w:color="auto" w:fill="D9D9D9" w:themeFill="background1" w:themeFillShade="D9"/>
          </w:tcPr>
          <w:p w14:paraId="4B18C7CE" w14:textId="77777777" w:rsidR="00022915" w:rsidRPr="00DA7A26" w:rsidRDefault="00022915" w:rsidP="00C53AB1">
            <w:pPr>
              <w:pStyle w:val="Tableheading0"/>
            </w:pPr>
            <w:r w:rsidRPr="00DA7A26">
              <w:t>Cost element</w:t>
            </w:r>
          </w:p>
        </w:tc>
        <w:tc>
          <w:tcPr>
            <w:tcW w:w="1467" w:type="pct"/>
            <w:shd w:val="clear" w:color="auto" w:fill="D9D9D9" w:themeFill="background1" w:themeFillShade="D9"/>
          </w:tcPr>
          <w:p w14:paraId="10B613F0" w14:textId="77777777" w:rsidR="00022915" w:rsidRPr="00DA7A26" w:rsidRDefault="00022915" w:rsidP="00C53AB1">
            <w:pPr>
              <w:pStyle w:val="Tableheading0"/>
            </w:pPr>
            <w:r w:rsidRPr="00DA7A26">
              <w:t>Assumption</w:t>
            </w:r>
          </w:p>
        </w:tc>
        <w:tc>
          <w:tcPr>
            <w:tcW w:w="2452" w:type="pct"/>
            <w:shd w:val="clear" w:color="auto" w:fill="D9D9D9" w:themeFill="background1" w:themeFillShade="D9"/>
          </w:tcPr>
          <w:p w14:paraId="34279975" w14:textId="77777777" w:rsidR="00022915" w:rsidRPr="00DA7A26" w:rsidRDefault="00022915" w:rsidP="00C53AB1">
            <w:pPr>
              <w:pStyle w:val="Tableheading0"/>
              <w:rPr>
                <w:highlight w:val="yellow"/>
              </w:rPr>
            </w:pPr>
            <w:r w:rsidRPr="00DA7A26">
              <w:t>Sources</w:t>
            </w:r>
          </w:p>
        </w:tc>
      </w:tr>
      <w:tr w:rsidR="00022915" w:rsidRPr="006A5DB5" w14:paraId="38543F8C" w14:textId="77777777" w:rsidTr="00C53AB1">
        <w:tc>
          <w:tcPr>
            <w:tcW w:w="1081" w:type="pct"/>
            <w:shd w:val="clear" w:color="auto" w:fill="auto"/>
          </w:tcPr>
          <w:p w14:paraId="4BE171FB" w14:textId="77777777" w:rsidR="00022915" w:rsidRPr="00566994" w:rsidRDefault="00022915" w:rsidP="00C53AB1">
            <w:pPr>
              <w:pStyle w:val="Tabletext0"/>
              <w:keepNext/>
              <w:keepLines/>
              <w:widowControl w:val="0"/>
              <w:spacing w:before="60"/>
              <w:rPr>
                <w:rFonts w:cs="Arial"/>
                <w:szCs w:val="20"/>
                <w:lang w:eastAsia="zh-CN"/>
              </w:rPr>
            </w:pPr>
            <w:r w:rsidRPr="00566994">
              <w:rPr>
                <w:rFonts w:cs="Arial"/>
                <w:szCs w:val="20"/>
                <w:lang w:eastAsia="zh-CN"/>
              </w:rPr>
              <w:t>Value of time</w:t>
            </w:r>
          </w:p>
        </w:tc>
        <w:tc>
          <w:tcPr>
            <w:tcW w:w="1467" w:type="pct"/>
            <w:shd w:val="clear" w:color="auto" w:fill="auto"/>
          </w:tcPr>
          <w:p w14:paraId="22DE7916" w14:textId="77777777" w:rsidR="00022915" w:rsidRPr="00566994" w:rsidRDefault="00022915" w:rsidP="00C53AB1">
            <w:pPr>
              <w:pStyle w:val="Tabletext0"/>
              <w:keepNext/>
              <w:keepLines/>
              <w:widowControl w:val="0"/>
              <w:spacing w:before="60"/>
              <w:rPr>
                <w:rFonts w:cs="Arial"/>
                <w:szCs w:val="20"/>
                <w:lang w:eastAsia="zh-CN"/>
              </w:rPr>
            </w:pPr>
            <w:r w:rsidRPr="00566994">
              <w:rPr>
                <w:rFonts w:cs="Arial"/>
                <w:szCs w:val="20"/>
                <w:lang w:eastAsia="zh-CN"/>
              </w:rPr>
              <w:t>$30/hour</w:t>
            </w:r>
          </w:p>
        </w:tc>
        <w:tc>
          <w:tcPr>
            <w:tcW w:w="2452" w:type="pct"/>
            <w:shd w:val="clear" w:color="auto" w:fill="auto"/>
          </w:tcPr>
          <w:p w14:paraId="4BD7FEBC" w14:textId="77777777" w:rsidR="00022915" w:rsidRPr="00566994" w:rsidRDefault="00022915" w:rsidP="00C53AB1">
            <w:pPr>
              <w:pStyle w:val="Tabletext0"/>
              <w:keepNext/>
              <w:keepLines/>
              <w:widowControl w:val="0"/>
              <w:spacing w:before="60"/>
              <w:rPr>
                <w:rFonts w:cs="Arial"/>
                <w:szCs w:val="20"/>
                <w:lang w:eastAsia="zh-CN"/>
              </w:rPr>
            </w:pPr>
            <w:r>
              <w:rPr>
                <w:rFonts w:cs="Arial"/>
                <w:szCs w:val="20"/>
                <w:lang w:eastAsia="zh-CN"/>
              </w:rPr>
              <w:t>New South Wales</w:t>
            </w:r>
            <w:r w:rsidRPr="00566994">
              <w:rPr>
                <w:rFonts w:cs="Arial"/>
                <w:szCs w:val="20"/>
                <w:lang w:eastAsia="zh-CN"/>
              </w:rPr>
              <w:t xml:space="preserve"> Local Land Services, </w:t>
            </w:r>
            <w:r w:rsidRPr="00566994">
              <w:rPr>
                <w:rFonts w:cs="Arial"/>
                <w:i/>
                <w:szCs w:val="20"/>
                <w:lang w:eastAsia="zh-CN"/>
              </w:rPr>
              <w:t>Volunteer Co-ordinators Network manual: a guide for managing environmental volunteer programs</w:t>
            </w:r>
            <w:r w:rsidRPr="00566994">
              <w:rPr>
                <w:rFonts w:cs="Arial"/>
                <w:szCs w:val="20"/>
                <w:lang w:eastAsia="zh-CN"/>
              </w:rPr>
              <w:t xml:space="preserve">, 4th edition, </w:t>
            </w:r>
            <w:r>
              <w:rPr>
                <w:rFonts w:cs="Arial"/>
                <w:szCs w:val="20"/>
                <w:lang w:eastAsia="zh-CN"/>
              </w:rPr>
              <w:t>New South Wales</w:t>
            </w:r>
            <w:r w:rsidRPr="00566994">
              <w:rPr>
                <w:rFonts w:cs="Arial"/>
                <w:szCs w:val="20"/>
                <w:lang w:eastAsia="zh-CN"/>
              </w:rPr>
              <w:t xml:space="preserve"> Local Land Services, Greater Sydney, Penrith, Westfield NSW, 2015</w:t>
            </w:r>
          </w:p>
        </w:tc>
      </w:tr>
      <w:tr w:rsidR="00022915" w:rsidRPr="006A5DB5" w14:paraId="0C1B3649" w14:textId="77777777" w:rsidTr="00C53AB1">
        <w:tc>
          <w:tcPr>
            <w:tcW w:w="1081" w:type="pct"/>
            <w:shd w:val="clear" w:color="auto" w:fill="auto"/>
          </w:tcPr>
          <w:p w14:paraId="1316C21E" w14:textId="77777777" w:rsidR="00022915" w:rsidRPr="00566994" w:rsidRDefault="00022915" w:rsidP="00C53AB1">
            <w:pPr>
              <w:pStyle w:val="Tabletext0"/>
              <w:keepNext/>
              <w:widowControl w:val="0"/>
              <w:spacing w:before="60"/>
              <w:rPr>
                <w:rFonts w:cs="Arial"/>
                <w:szCs w:val="20"/>
                <w:lang w:eastAsia="zh-CN"/>
              </w:rPr>
            </w:pPr>
            <w:r w:rsidRPr="00566994">
              <w:rPr>
                <w:rFonts w:cs="Arial"/>
                <w:szCs w:val="20"/>
                <w:lang w:eastAsia="zh-CN"/>
              </w:rPr>
              <w:t>Accumulation time</w:t>
            </w:r>
          </w:p>
        </w:tc>
        <w:tc>
          <w:tcPr>
            <w:tcW w:w="1467" w:type="pct"/>
            <w:shd w:val="clear" w:color="auto" w:fill="auto"/>
          </w:tcPr>
          <w:p w14:paraId="6B21ADB8" w14:textId="77777777" w:rsidR="00022915" w:rsidRPr="00566994" w:rsidRDefault="00022915" w:rsidP="00C53AB1">
            <w:pPr>
              <w:pStyle w:val="Tabletext0"/>
              <w:keepNext/>
              <w:widowControl w:val="0"/>
              <w:spacing w:before="60"/>
              <w:rPr>
                <w:rFonts w:cs="Arial"/>
                <w:szCs w:val="20"/>
                <w:lang w:eastAsia="zh-CN"/>
              </w:rPr>
            </w:pPr>
            <w:r w:rsidRPr="00566994">
              <w:rPr>
                <w:rFonts w:cs="Arial"/>
                <w:szCs w:val="20"/>
                <w:lang w:eastAsia="zh-CN"/>
              </w:rPr>
              <w:t>Nil</w:t>
            </w:r>
          </w:p>
        </w:tc>
        <w:tc>
          <w:tcPr>
            <w:tcW w:w="2452" w:type="pct"/>
            <w:shd w:val="clear" w:color="auto" w:fill="auto"/>
          </w:tcPr>
          <w:p w14:paraId="06126E39" w14:textId="77777777" w:rsidR="00022915" w:rsidRPr="00566994" w:rsidRDefault="00022915" w:rsidP="00C53AB1">
            <w:pPr>
              <w:pStyle w:val="Tabletext0"/>
              <w:keepNext/>
              <w:widowControl w:val="0"/>
              <w:spacing w:before="60"/>
              <w:rPr>
                <w:rFonts w:cs="Arial"/>
                <w:szCs w:val="20"/>
                <w:lang w:eastAsia="zh-CN"/>
              </w:rPr>
            </w:pPr>
            <w:r w:rsidRPr="00566994">
              <w:rPr>
                <w:rFonts w:cs="Arial"/>
                <w:szCs w:val="20"/>
                <w:lang w:eastAsia="zh-CN"/>
              </w:rPr>
              <w:t>Households are already involved in current waste management practices</w:t>
            </w:r>
          </w:p>
        </w:tc>
      </w:tr>
      <w:tr w:rsidR="00022915" w:rsidRPr="006A5DB5" w14:paraId="33806067" w14:textId="77777777" w:rsidTr="00C53AB1">
        <w:tc>
          <w:tcPr>
            <w:tcW w:w="1081" w:type="pct"/>
            <w:shd w:val="clear" w:color="auto" w:fill="auto"/>
          </w:tcPr>
          <w:p w14:paraId="0AFE3D21" w14:textId="77777777" w:rsidR="00022915" w:rsidRPr="00566994" w:rsidRDefault="00022915" w:rsidP="00C53AB1">
            <w:pPr>
              <w:pStyle w:val="Tabletext0"/>
              <w:keepNext/>
              <w:widowControl w:val="0"/>
              <w:spacing w:before="60"/>
              <w:rPr>
                <w:rFonts w:cs="Arial"/>
                <w:szCs w:val="20"/>
                <w:lang w:eastAsia="zh-CN"/>
              </w:rPr>
            </w:pPr>
            <w:r w:rsidRPr="00566994">
              <w:rPr>
                <w:rFonts w:cs="Arial"/>
                <w:szCs w:val="20"/>
                <w:lang w:eastAsia="zh-CN"/>
              </w:rPr>
              <w:t>Vehicle operating costs and in-vehicle travel time</w:t>
            </w:r>
          </w:p>
        </w:tc>
        <w:tc>
          <w:tcPr>
            <w:tcW w:w="1467" w:type="pct"/>
            <w:shd w:val="clear" w:color="auto" w:fill="auto"/>
          </w:tcPr>
          <w:p w14:paraId="567BCDB7" w14:textId="77777777" w:rsidR="00022915" w:rsidRPr="00566994" w:rsidRDefault="00022915" w:rsidP="00C53AB1">
            <w:pPr>
              <w:pStyle w:val="Tabletext0"/>
              <w:keepNext/>
              <w:widowControl w:val="0"/>
              <w:spacing w:before="60"/>
              <w:rPr>
                <w:rFonts w:cs="Arial"/>
                <w:szCs w:val="20"/>
                <w:lang w:eastAsia="zh-CN"/>
              </w:rPr>
            </w:pPr>
            <w:r w:rsidRPr="00566994">
              <w:rPr>
                <w:rFonts w:cs="Arial"/>
                <w:szCs w:val="20"/>
                <w:lang w:eastAsia="zh-CN"/>
              </w:rPr>
              <w:t>2 km for urban trips, 11.6 km for rural trips, with fuel and maintenance costs being 15.4c/km</w:t>
            </w:r>
          </w:p>
        </w:tc>
        <w:tc>
          <w:tcPr>
            <w:tcW w:w="2452" w:type="pct"/>
            <w:shd w:val="clear" w:color="auto" w:fill="auto"/>
          </w:tcPr>
          <w:p w14:paraId="668FBE32" w14:textId="77777777" w:rsidR="00022915" w:rsidRPr="00566994" w:rsidRDefault="00022915" w:rsidP="00C53AB1">
            <w:pPr>
              <w:pStyle w:val="Tabletext0"/>
              <w:keepNext/>
              <w:widowControl w:val="0"/>
              <w:spacing w:before="60"/>
              <w:rPr>
                <w:rFonts w:cs="Arial"/>
                <w:szCs w:val="20"/>
                <w:lang w:eastAsia="zh-CN"/>
              </w:rPr>
            </w:pPr>
            <w:r w:rsidRPr="00566994">
              <w:rPr>
                <w:rFonts w:cs="Arial"/>
                <w:szCs w:val="20"/>
                <w:lang w:eastAsia="zh-CN"/>
              </w:rPr>
              <w:t xml:space="preserve">South Australia data; </w:t>
            </w:r>
            <w:r w:rsidRPr="00566994">
              <w:rPr>
                <w:rFonts w:cs="Arial"/>
                <w:szCs w:val="20"/>
              </w:rPr>
              <w:t xml:space="preserve">Nolan-ITU, </w:t>
            </w:r>
            <w:r w:rsidRPr="00566994">
              <w:rPr>
                <w:rFonts w:cs="Arial"/>
                <w:i/>
                <w:szCs w:val="20"/>
              </w:rPr>
              <w:t>Victorian CDL financial impact analysis</w:t>
            </w:r>
            <w:r w:rsidRPr="00566994">
              <w:rPr>
                <w:rFonts w:cs="Arial"/>
                <w:szCs w:val="20"/>
              </w:rPr>
              <w:t xml:space="preserve">, EPA Victoria, Southbank Victoria, 2003; Institute for Sustainable Futures and University of Technology Sydney, </w:t>
            </w:r>
            <w:r w:rsidRPr="00566994">
              <w:rPr>
                <w:rFonts w:cs="Arial"/>
                <w:i/>
                <w:szCs w:val="20"/>
              </w:rPr>
              <w:t>Independent review of container deposit legislation in NSW</w:t>
            </w:r>
            <w:r w:rsidRPr="00566994">
              <w:rPr>
                <w:rFonts w:cs="Arial"/>
                <w:szCs w:val="20"/>
              </w:rPr>
              <w:t>, prepared for the Minister for the Environment, NSW, 2001</w:t>
            </w:r>
          </w:p>
        </w:tc>
      </w:tr>
      <w:tr w:rsidR="00022915" w:rsidRPr="006A5DB5" w14:paraId="7EAE6052" w14:textId="77777777" w:rsidTr="00C53AB1">
        <w:tc>
          <w:tcPr>
            <w:tcW w:w="1081" w:type="pct"/>
            <w:shd w:val="clear" w:color="auto" w:fill="auto"/>
          </w:tcPr>
          <w:p w14:paraId="5EFF19E5" w14:textId="77777777" w:rsidR="00022915" w:rsidRPr="00566994" w:rsidRDefault="00022915" w:rsidP="00C53AB1">
            <w:pPr>
              <w:pStyle w:val="Tabletext0"/>
              <w:widowControl w:val="0"/>
              <w:spacing w:before="60"/>
              <w:rPr>
                <w:rFonts w:cs="Arial"/>
                <w:szCs w:val="20"/>
                <w:lang w:eastAsia="zh-CN"/>
              </w:rPr>
            </w:pPr>
            <w:r w:rsidRPr="00566994">
              <w:rPr>
                <w:rFonts w:cs="Arial"/>
                <w:szCs w:val="20"/>
                <w:lang w:eastAsia="zh-CN"/>
              </w:rPr>
              <w:t>Container deposit redemption time</w:t>
            </w:r>
          </w:p>
        </w:tc>
        <w:tc>
          <w:tcPr>
            <w:tcW w:w="1467" w:type="pct"/>
            <w:shd w:val="clear" w:color="auto" w:fill="auto"/>
          </w:tcPr>
          <w:p w14:paraId="7B915528" w14:textId="77777777" w:rsidR="00022915" w:rsidRPr="00566994" w:rsidRDefault="00022915" w:rsidP="00C53AB1">
            <w:pPr>
              <w:pStyle w:val="Tabletext0"/>
              <w:widowControl w:val="0"/>
              <w:spacing w:before="60"/>
              <w:rPr>
                <w:rFonts w:cs="Arial"/>
                <w:szCs w:val="20"/>
                <w:lang w:eastAsia="zh-CN"/>
              </w:rPr>
            </w:pPr>
            <w:r w:rsidRPr="00566994">
              <w:rPr>
                <w:rFonts w:cs="Arial"/>
                <w:szCs w:val="20"/>
                <w:lang w:eastAsia="zh-CN"/>
              </w:rPr>
              <w:t xml:space="preserve">1.6 minutes for reverse vending machines and 10 minutes for other </w:t>
            </w:r>
            <w:r>
              <w:rPr>
                <w:rFonts w:cs="Arial"/>
                <w:szCs w:val="20"/>
                <w:lang w:eastAsia="zh-CN"/>
              </w:rPr>
              <w:t>refund</w:t>
            </w:r>
            <w:r w:rsidRPr="00566994">
              <w:rPr>
                <w:rFonts w:cs="Arial"/>
                <w:szCs w:val="20"/>
                <w:lang w:eastAsia="zh-CN"/>
              </w:rPr>
              <w:t xml:space="preserve"> points</w:t>
            </w:r>
          </w:p>
        </w:tc>
        <w:tc>
          <w:tcPr>
            <w:tcW w:w="2452" w:type="pct"/>
            <w:shd w:val="clear" w:color="auto" w:fill="auto"/>
          </w:tcPr>
          <w:p w14:paraId="117CE01D" w14:textId="77777777" w:rsidR="00022915" w:rsidRPr="00566994" w:rsidRDefault="00022915" w:rsidP="00C53AB1">
            <w:pPr>
              <w:pStyle w:val="Tabletext0"/>
              <w:widowControl w:val="0"/>
              <w:spacing w:before="60"/>
              <w:rPr>
                <w:rFonts w:cs="Arial"/>
                <w:szCs w:val="20"/>
                <w:lang w:eastAsia="zh-CN"/>
              </w:rPr>
            </w:pPr>
            <w:r w:rsidRPr="00566994">
              <w:rPr>
                <w:rFonts w:cs="Arial"/>
                <w:szCs w:val="20"/>
                <w:lang w:eastAsia="zh-CN"/>
              </w:rPr>
              <w:t xml:space="preserve">Based on assumed throughput of reverse vending machines; </w:t>
            </w:r>
            <w:r w:rsidRPr="00566994">
              <w:rPr>
                <w:rFonts w:cs="Arial"/>
                <w:szCs w:val="20"/>
              </w:rPr>
              <w:t xml:space="preserve">Harrison Research, </w:t>
            </w:r>
            <w:r w:rsidRPr="00566994">
              <w:rPr>
                <w:rFonts w:cs="Arial"/>
                <w:i/>
                <w:szCs w:val="20"/>
              </w:rPr>
              <w:t>CDL awareness and support research report</w:t>
            </w:r>
            <w:r w:rsidRPr="00566994">
              <w:rPr>
                <w:rFonts w:cs="Arial"/>
                <w:szCs w:val="20"/>
              </w:rPr>
              <w:t>, EPA South Australia and Zero Waste SA, Adelaide</w:t>
            </w:r>
            <w:r w:rsidRPr="00566994">
              <w:rPr>
                <w:rFonts w:cs="Arial"/>
                <w:szCs w:val="20"/>
                <w:lang w:eastAsia="zh-CN"/>
              </w:rPr>
              <w:t>, 2012.</w:t>
            </w:r>
          </w:p>
        </w:tc>
      </w:tr>
    </w:tbl>
    <w:p w14:paraId="02B214F1" w14:textId="77777777" w:rsidR="00022915" w:rsidRDefault="00022915" w:rsidP="00022915">
      <w:pPr>
        <w:pStyle w:val="DWERSource"/>
      </w:pPr>
    </w:p>
    <w:p w14:paraId="04DA0B71" w14:textId="77777777" w:rsidR="00022915" w:rsidRDefault="00022915" w:rsidP="00022915">
      <w:r>
        <w:t>It is noted that the change in littering behaviour will arise from a combination of people:</w:t>
      </w:r>
    </w:p>
    <w:p w14:paraId="3BF58FC5" w14:textId="77777777" w:rsidR="00022915" w:rsidRDefault="00022915" w:rsidP="00022915">
      <w:pPr>
        <w:pStyle w:val="Bullets1stindent"/>
        <w:spacing w:before="60" w:line="240" w:lineRule="auto"/>
      </w:pPr>
      <w:r>
        <w:t>holding onto their beverage container so it can be recycled (rather than disposing of it incorrectly); and</w:t>
      </w:r>
    </w:p>
    <w:p w14:paraId="56995F5C" w14:textId="77777777" w:rsidR="00022915" w:rsidRDefault="00022915" w:rsidP="00022915">
      <w:pPr>
        <w:pStyle w:val="Bullets1stindent"/>
        <w:spacing w:before="60" w:line="240" w:lineRule="auto"/>
      </w:pPr>
      <w:r>
        <w:t>picking up litter that would otherwise not have been picked up.</w:t>
      </w:r>
    </w:p>
    <w:p w14:paraId="54EC1F11" w14:textId="77777777" w:rsidR="00022915" w:rsidRDefault="00022915" w:rsidP="00022915">
      <w:r>
        <w:t>However, there is a lack of data on the importance of each process and on the time and cost of each changed behaviour.  For those reasons, the costs are not estimated in the analysis.</w:t>
      </w:r>
    </w:p>
    <w:p w14:paraId="0170B66E" w14:textId="77777777" w:rsidR="00022915" w:rsidRPr="001B0633" w:rsidRDefault="00022915" w:rsidP="00022915">
      <w:r w:rsidRPr="001B0633">
        <w:t xml:space="preserve">Based on the assumptions outlined above, annual household participation costs were estimated over the course of the analysis. </w:t>
      </w:r>
      <w:r>
        <w:t>T</w:t>
      </w:r>
      <w:r w:rsidRPr="001B0633">
        <w:t>he cost increases</w:t>
      </w:r>
      <w:r>
        <w:t xml:space="preserve"> over time,</w:t>
      </w:r>
      <w:r w:rsidRPr="001B0633">
        <w:t xml:space="preserve"> reflecting increased </w:t>
      </w:r>
      <w:r>
        <w:t>return</w:t>
      </w:r>
      <w:r w:rsidRPr="001B0633">
        <w:t xml:space="preserve"> rates and therefore increased redemption times. </w:t>
      </w:r>
      <w:r>
        <w:t xml:space="preserve">In 2022, for example, costs are estimated </w:t>
      </w:r>
      <w:r w:rsidRPr="00D722AC">
        <w:t xml:space="preserve">to be </w:t>
      </w:r>
      <w:r w:rsidRPr="00667DD7">
        <w:t>$3.38 million,</w:t>
      </w:r>
      <w:r w:rsidRPr="00B93540">
        <w:t xml:space="preserve"> increasing to </w:t>
      </w:r>
      <w:r w:rsidRPr="00667DD7">
        <w:t>$7.56 million</w:t>
      </w:r>
      <w:r w:rsidRPr="00B93540">
        <w:t xml:space="preserve"> in 2027.</w:t>
      </w:r>
    </w:p>
    <w:p w14:paraId="5C1358F9" w14:textId="77777777" w:rsidR="00022915" w:rsidRPr="001B0633" w:rsidRDefault="00022915" w:rsidP="00022915">
      <w:r w:rsidRPr="001B0633">
        <w:t xml:space="preserve">Households and the broader community place a value on recycling that includes a range of market and non-market values. These values are separately accounted for in the </w:t>
      </w:r>
      <w:r>
        <w:t>cost-benefit analysis</w:t>
      </w:r>
      <w:r w:rsidRPr="001B0633">
        <w:t xml:space="preserve"> </w:t>
      </w:r>
      <w:r>
        <w:t xml:space="preserve">(see the willingness to pay </w:t>
      </w:r>
      <w:r w:rsidRPr="001B0633">
        <w:t>section</w:t>
      </w:r>
      <w:r>
        <w:t>s</w:t>
      </w:r>
      <w:r w:rsidRPr="001B0633">
        <w:t xml:space="preserve"> below</w:t>
      </w:r>
      <w:r>
        <w:t>)</w:t>
      </w:r>
      <w:r w:rsidRPr="001B0633">
        <w:t>.</w:t>
      </w:r>
    </w:p>
    <w:p w14:paraId="6D493F71" w14:textId="77777777" w:rsidR="00022915" w:rsidRPr="00D67FDF" w:rsidRDefault="00022915" w:rsidP="00022915">
      <w:pPr>
        <w:pStyle w:val="Heading3"/>
      </w:pPr>
      <w:bookmarkStart w:id="243" w:name="_Toc499821558"/>
      <w:r w:rsidRPr="00D67FDF">
        <w:t>Business participation costs</w:t>
      </w:r>
      <w:bookmarkEnd w:id="243"/>
    </w:p>
    <w:p w14:paraId="2E13C870" w14:textId="77777777" w:rsidR="00022915" w:rsidRPr="001B0633" w:rsidRDefault="00022915" w:rsidP="00022915">
      <w:r w:rsidRPr="004A57C9">
        <w:t>Business and workplace participation costs are defined as costs incurred by employees taking beverage containers to temporary storage infrastructure and cleaners or other staff consolidating containers in larger storage infrastructure, such as skip bins.</w:t>
      </w:r>
    </w:p>
    <w:p w14:paraId="47FD4A3A" w14:textId="77777777" w:rsidR="00022915" w:rsidRPr="001B0633" w:rsidRDefault="00022915" w:rsidP="00022915">
      <w:r w:rsidRPr="001B0633">
        <w:t xml:space="preserve">Clean-up costs are based on the following </w:t>
      </w:r>
      <w:r w:rsidRPr="00A00611">
        <w:t>assumptions</w:t>
      </w:r>
      <w:r w:rsidRPr="001B0633">
        <w:t>:</w:t>
      </w:r>
    </w:p>
    <w:p w14:paraId="5B156F3B" w14:textId="77777777" w:rsidR="00022915" w:rsidRPr="001B0633" w:rsidRDefault="00022915" w:rsidP="00022915">
      <w:pPr>
        <w:pStyle w:val="Bullets1stindent"/>
        <w:spacing w:line="240" w:lineRule="auto"/>
      </w:pPr>
      <w:r>
        <w:t>A</w:t>
      </w:r>
      <w:r w:rsidRPr="001B0633">
        <w:t xml:space="preserve">n additional trip every four days </w:t>
      </w:r>
      <w:r>
        <w:t xml:space="preserve">will be needed </w:t>
      </w:r>
      <w:r w:rsidRPr="001B0633">
        <w:t>to transfer containers to larger storages (averaged over all participating businesses</w:t>
      </w:r>
      <w:r>
        <w:t>).</w:t>
      </w:r>
    </w:p>
    <w:p w14:paraId="6059144E" w14:textId="77777777" w:rsidR="00022915" w:rsidRPr="00B93540" w:rsidRDefault="00022915" w:rsidP="00022915">
      <w:pPr>
        <w:pStyle w:val="Bullets1stindent"/>
        <w:spacing w:line="240" w:lineRule="auto"/>
      </w:pPr>
      <w:r w:rsidRPr="00E361FA">
        <w:t xml:space="preserve">The number of commercial businesses with a turnover of </w:t>
      </w:r>
      <w:r w:rsidRPr="00B93540">
        <w:t xml:space="preserve">more </w:t>
      </w:r>
      <w:r w:rsidRPr="00667DD7">
        <w:t>$2 million</w:t>
      </w:r>
      <w:r w:rsidRPr="00B93540">
        <w:t xml:space="preserve"> per</w:t>
      </w:r>
      <w:r w:rsidRPr="00E361FA">
        <w:t xml:space="preserve"> annum was estimated to </w:t>
      </w:r>
      <w:r w:rsidRPr="00B93540">
        <w:t xml:space="preserve">be </w:t>
      </w:r>
      <w:r w:rsidRPr="00667DD7">
        <w:t>16,766,</w:t>
      </w:r>
      <w:r w:rsidRPr="00B93540">
        <w:t xml:space="preserve"> based on ABS data</w:t>
      </w:r>
      <w:r w:rsidRPr="00135EA6">
        <w:t xml:space="preserve"> </w:t>
      </w:r>
      <w:r>
        <w:t>(ABS 2017)</w:t>
      </w:r>
      <w:r w:rsidRPr="00B93540">
        <w:t xml:space="preserve">. </w:t>
      </w:r>
    </w:p>
    <w:p w14:paraId="546CE76D" w14:textId="77777777" w:rsidR="00022915" w:rsidRPr="001B0633" w:rsidRDefault="00022915" w:rsidP="00022915">
      <w:pPr>
        <w:pStyle w:val="Bullets1stindent"/>
        <w:spacing w:line="240" w:lineRule="auto"/>
      </w:pPr>
      <w:r w:rsidRPr="00B93540">
        <w:t xml:space="preserve">The value of time is assumed to </w:t>
      </w:r>
      <w:r w:rsidRPr="00667DD7">
        <w:t>be $44.70 per hour</w:t>
      </w:r>
      <w:r w:rsidRPr="00B93540">
        <w:t xml:space="preserve"> for cleaning</w:t>
      </w:r>
      <w:r w:rsidRPr="001B0633">
        <w:t xml:space="preserve"> costs (including salaries, on-costs and normal margins). This function could be completed by existing staff or could be outsourced without affecting the economic outcome.</w:t>
      </w:r>
    </w:p>
    <w:p w14:paraId="70F71A6F" w14:textId="77777777" w:rsidR="00022915" w:rsidRPr="001B0633" w:rsidRDefault="00022915" w:rsidP="00022915">
      <w:r w:rsidRPr="001B0633">
        <w:t>Drawing on these assumptions</w:t>
      </w:r>
      <w:r>
        <w:t>,</w:t>
      </w:r>
      <w:r w:rsidRPr="001B0633">
        <w:t xml:space="preserve"> business participation costs are estimated </w:t>
      </w:r>
      <w:r w:rsidRPr="00B93540">
        <w:t xml:space="preserve">for each year. In </w:t>
      </w:r>
      <w:r w:rsidRPr="00667DD7">
        <w:t>2022</w:t>
      </w:r>
      <w:r w:rsidRPr="00B93540">
        <w:t xml:space="preserve">, for example, costs are estimated </w:t>
      </w:r>
      <w:r w:rsidRPr="00667DD7">
        <w:t>to be $2.45 million</w:t>
      </w:r>
      <w:r w:rsidRPr="00B93540">
        <w:t>.</w:t>
      </w:r>
      <w:r>
        <w:t xml:space="preserve"> It is noted that businesses are not compelled to participate, so could choose not to, if the costs are believed to outweigh the benefits.</w:t>
      </w:r>
    </w:p>
    <w:p w14:paraId="52BE0C5C" w14:textId="77777777" w:rsidR="00022915" w:rsidRPr="001F063F" w:rsidRDefault="00022915" w:rsidP="00022915">
      <w:pPr>
        <w:pStyle w:val="Heading4"/>
      </w:pPr>
      <w:bookmarkStart w:id="244" w:name="_Toc499821559"/>
      <w:r w:rsidRPr="001F063F">
        <w:t>Non-market values</w:t>
      </w:r>
      <w:r>
        <w:t xml:space="preserve">: </w:t>
      </w:r>
      <w:r w:rsidRPr="001F063F">
        <w:t>willingness to pay</w:t>
      </w:r>
      <w:bookmarkEnd w:id="244"/>
    </w:p>
    <w:p w14:paraId="5FECFEF6" w14:textId="77777777" w:rsidR="00022915" w:rsidRPr="00E42FCA" w:rsidRDefault="00022915" w:rsidP="00022915">
      <w:r w:rsidRPr="0046523A">
        <w:t>As with recycling, households and the broader community place a value on litter avoidance. Th</w:t>
      </w:r>
      <w:r>
        <w:t>at</w:t>
      </w:r>
      <w:r w:rsidRPr="0046523A">
        <w:t xml:space="preserve"> value is not fully reflected in observable market values (or costs).</w:t>
      </w:r>
      <w:r>
        <w:t xml:space="preserve"> Willingness to pay</w:t>
      </w:r>
      <w:r w:rsidRPr="0046523A">
        <w:t xml:space="preserve"> is an all-encompassing measure of consumer surplus </w:t>
      </w:r>
      <w:r>
        <w:t>that</w:t>
      </w:r>
      <w:r w:rsidRPr="0046523A">
        <w:t xml:space="preserve"> identifies the value of a </w:t>
      </w:r>
      <w:r w:rsidRPr="00E42FCA">
        <w:t>good or service</w:t>
      </w:r>
      <w:r>
        <w:t>,</w:t>
      </w:r>
      <w:r w:rsidRPr="00E42FCA">
        <w:t xml:space="preserve"> including both market and non-market values.</w:t>
      </w:r>
      <w:r>
        <w:t xml:space="preserve"> </w:t>
      </w:r>
    </w:p>
    <w:p w14:paraId="21FDFF88" w14:textId="77777777" w:rsidR="00022915" w:rsidRPr="00E42FCA" w:rsidRDefault="00022915" w:rsidP="00022915">
      <w:r w:rsidRPr="00E42FCA">
        <w:t>To inform the economic analysis of the CDS</w:t>
      </w:r>
      <w:r>
        <w:t>,</w:t>
      </w:r>
      <w:r w:rsidRPr="00E42FCA">
        <w:t xml:space="preserve"> previous</w:t>
      </w:r>
      <w:r>
        <w:t xml:space="preserve"> willingness to pay</w:t>
      </w:r>
      <w:r w:rsidRPr="00E42FCA">
        <w:t xml:space="preserve"> studies</w:t>
      </w:r>
      <w:r>
        <w:t xml:space="preserve"> were reviewed, </w:t>
      </w:r>
      <w:r w:rsidRPr="00E42FCA">
        <w:t>to understand community preference</w:t>
      </w:r>
      <w:r>
        <w:t>s</w:t>
      </w:r>
      <w:r w:rsidRPr="00E42FCA">
        <w:t xml:space="preserve"> for waste collection</w:t>
      </w:r>
      <w:r>
        <w:t>.</w:t>
      </w:r>
    </w:p>
    <w:p w14:paraId="2840C7EB" w14:textId="77777777" w:rsidR="00022915" w:rsidRDefault="00022915" w:rsidP="00022915">
      <w:r>
        <w:t xml:space="preserve">The approach used in each of the studies is suitable for determining community preferences; however, neither study directly estimates community members’ willingness to pay. </w:t>
      </w:r>
    </w:p>
    <w:p w14:paraId="58424F19" w14:textId="77777777" w:rsidR="00022915" w:rsidRDefault="00022915" w:rsidP="00022915">
      <w:r>
        <w:t xml:space="preserve">The key inputs to the cost-benefit analysis are the public’s: </w:t>
      </w:r>
    </w:p>
    <w:p w14:paraId="02E14BED" w14:textId="77777777" w:rsidR="00022915" w:rsidRPr="00E10C7E" w:rsidRDefault="00022915" w:rsidP="00022915">
      <w:pPr>
        <w:pStyle w:val="Bullets1stindent"/>
        <w:spacing w:line="240" w:lineRule="auto"/>
      </w:pPr>
      <w:r>
        <w:t>willingness to pay</w:t>
      </w:r>
      <w:r w:rsidRPr="00E10C7E">
        <w:t xml:space="preserve"> to reduce packaging waste going to landfill</w:t>
      </w:r>
      <w:r>
        <w:t>; and</w:t>
      </w:r>
    </w:p>
    <w:p w14:paraId="182A6E69" w14:textId="77777777" w:rsidR="00022915" w:rsidRDefault="00022915" w:rsidP="00022915">
      <w:pPr>
        <w:pStyle w:val="Bullets1stindent"/>
        <w:spacing w:line="240" w:lineRule="auto"/>
      </w:pPr>
      <w:r>
        <w:t xml:space="preserve">willingness to pay to reduce litter arising from packaging waste. </w:t>
      </w:r>
    </w:p>
    <w:p w14:paraId="2EDA652D" w14:textId="77777777" w:rsidR="00022915" w:rsidRPr="00E10C7E" w:rsidRDefault="00022915" w:rsidP="00022915">
      <w:r>
        <w:t>The s</w:t>
      </w:r>
      <w:r w:rsidRPr="00E10C7E">
        <w:t>ources of utility underpinning</w:t>
      </w:r>
      <w:r>
        <w:t xml:space="preserve"> the willingness to pay</w:t>
      </w:r>
      <w:r w:rsidRPr="00E10C7E">
        <w:t xml:space="preserve"> to reduce visual litter in public places and</w:t>
      </w:r>
      <w:r>
        <w:t xml:space="preserve"> the willingness to pay</w:t>
      </w:r>
      <w:r w:rsidRPr="00E10C7E">
        <w:t xml:space="preserve"> to increase recycling overlap</w:t>
      </w:r>
      <w:r>
        <w:t xml:space="preserve">. They </w:t>
      </w:r>
      <w:r w:rsidRPr="00E10C7E">
        <w:t>can include:</w:t>
      </w:r>
    </w:p>
    <w:p w14:paraId="0B682E37" w14:textId="77777777" w:rsidR="00022915" w:rsidRPr="00E10C7E" w:rsidRDefault="00022915" w:rsidP="00022915">
      <w:pPr>
        <w:pStyle w:val="Bullets1stindent"/>
        <w:spacing w:line="240" w:lineRule="auto"/>
      </w:pPr>
      <w:r w:rsidRPr="00E10C7E">
        <w:t>avoided environmental and social externalities associated with the operation of landfills (</w:t>
      </w:r>
      <w:r>
        <w:t xml:space="preserve">such as </w:t>
      </w:r>
      <w:r w:rsidRPr="00E10C7E">
        <w:t>pollution)</w:t>
      </w:r>
      <w:r>
        <w:t>;</w:t>
      </w:r>
    </w:p>
    <w:p w14:paraId="36C1B6AB" w14:textId="77777777" w:rsidR="00022915" w:rsidRPr="00E10C7E" w:rsidRDefault="00022915" w:rsidP="00022915">
      <w:pPr>
        <w:pStyle w:val="Bullets1stindent"/>
        <w:spacing w:line="240" w:lineRule="auto"/>
      </w:pPr>
      <w:r w:rsidRPr="00E10C7E">
        <w:t>avoided environmental externalities due to reduced resource depletion</w:t>
      </w:r>
      <w:r>
        <w:t xml:space="preserve"> (although this is partially captured in the value of recyclates);</w:t>
      </w:r>
    </w:p>
    <w:p w14:paraId="40898AEC" w14:textId="77777777" w:rsidR="00022915" w:rsidRPr="00E10C7E" w:rsidRDefault="00022915" w:rsidP="00022915">
      <w:pPr>
        <w:pStyle w:val="Bullets1stindent"/>
        <w:spacing w:line="240" w:lineRule="auto"/>
      </w:pPr>
      <w:r w:rsidRPr="00E10C7E">
        <w:t>a sense of ‘civic duty’ that accompanies recycling and waste avoidance</w:t>
      </w:r>
      <w:r>
        <w:t>;</w:t>
      </w:r>
    </w:p>
    <w:p w14:paraId="77A3608A" w14:textId="77777777" w:rsidR="00022915" w:rsidRPr="00E10C7E" w:rsidRDefault="00022915" w:rsidP="00022915">
      <w:pPr>
        <w:pStyle w:val="Bullets1stindent"/>
        <w:spacing w:line="240" w:lineRule="auto"/>
      </w:pPr>
      <w:r w:rsidRPr="00E10C7E">
        <w:t xml:space="preserve">general disutility from visual litter in public spaces (unsightly, negative environmental </w:t>
      </w:r>
      <w:r>
        <w:t>impacts</w:t>
      </w:r>
      <w:r w:rsidRPr="00E10C7E">
        <w:t>)</w:t>
      </w:r>
      <w:r>
        <w:t>;</w:t>
      </w:r>
      <w:r w:rsidRPr="00E10C7E">
        <w:t xml:space="preserve"> </w:t>
      </w:r>
    </w:p>
    <w:p w14:paraId="51BB820C" w14:textId="77777777" w:rsidR="00022915" w:rsidRPr="00E10C7E" w:rsidRDefault="00022915" w:rsidP="00022915">
      <w:pPr>
        <w:pStyle w:val="Bullets1stindent"/>
        <w:spacing w:line="240" w:lineRule="auto"/>
      </w:pPr>
      <w:r w:rsidRPr="00E10C7E">
        <w:t>avoided damage cost</w:t>
      </w:r>
      <w:r>
        <w:t>s</w:t>
      </w:r>
      <w:r w:rsidRPr="00E10C7E">
        <w:t xml:space="preserve"> of litter in public spaces (</w:t>
      </w:r>
      <w:r>
        <w:t>such as from</w:t>
      </w:r>
      <w:r w:rsidRPr="00E10C7E">
        <w:t xml:space="preserve"> stepping on </w:t>
      </w:r>
      <w:r>
        <w:t>broken glass</w:t>
      </w:r>
      <w:r w:rsidRPr="00E10C7E">
        <w:t>)</w:t>
      </w:r>
      <w:r>
        <w:t>;</w:t>
      </w:r>
    </w:p>
    <w:p w14:paraId="2178E033" w14:textId="77777777" w:rsidR="00022915" w:rsidRPr="00E10C7E" w:rsidRDefault="00022915" w:rsidP="00022915">
      <w:pPr>
        <w:pStyle w:val="Bullets1stindent"/>
        <w:spacing w:line="240" w:lineRule="auto"/>
      </w:pPr>
      <w:r w:rsidRPr="00E10C7E">
        <w:t>avoided landfill externality costs (leachate, smell)</w:t>
      </w:r>
      <w:r>
        <w:t>;</w:t>
      </w:r>
    </w:p>
    <w:p w14:paraId="353DD633" w14:textId="77777777" w:rsidR="00022915" w:rsidRPr="00E10C7E" w:rsidRDefault="00022915" w:rsidP="00022915">
      <w:pPr>
        <w:pStyle w:val="Bullets1stindent"/>
        <w:spacing w:line="240" w:lineRule="auto"/>
      </w:pPr>
      <w:r w:rsidRPr="00E10C7E">
        <w:t>avoided land cost from waste disposal in landfill</w:t>
      </w:r>
      <w:r>
        <w:t>; and</w:t>
      </w:r>
    </w:p>
    <w:p w14:paraId="204F3BEB" w14:textId="77777777" w:rsidR="00022915" w:rsidRPr="00E10C7E" w:rsidRDefault="00022915" w:rsidP="00022915">
      <w:pPr>
        <w:pStyle w:val="Bullets1stindent"/>
        <w:spacing w:line="240" w:lineRule="auto"/>
      </w:pPr>
      <w:r w:rsidRPr="00E10C7E">
        <w:t>preservation of resources for future generations (option values).</w:t>
      </w:r>
    </w:p>
    <w:p w14:paraId="1ABA7499" w14:textId="77777777" w:rsidR="00022915" w:rsidRPr="001F063F" w:rsidRDefault="00022915" w:rsidP="00022915">
      <w:r w:rsidRPr="00FA69C5">
        <w:t xml:space="preserve">As recycling and reduction in visual litter may have common sources of utility, the values placed on </w:t>
      </w:r>
      <w:r w:rsidRPr="001F063F">
        <w:t>each form of</w:t>
      </w:r>
      <w:r>
        <w:t xml:space="preserve"> willingness to pay</w:t>
      </w:r>
      <w:r w:rsidRPr="001F063F">
        <w:t xml:space="preserve"> are strictly non-separable. For this reason, the results of the</w:t>
      </w:r>
      <w:r>
        <w:t> cost-benefit analysis</w:t>
      </w:r>
      <w:r w:rsidRPr="001F063F">
        <w:t xml:space="preserve"> consider only one form of</w:t>
      </w:r>
      <w:r>
        <w:t xml:space="preserve"> willingness to pay</w:t>
      </w:r>
      <w:r w:rsidRPr="001F063F">
        <w:t xml:space="preserve"> at any one time (to avoid potential double counting).</w:t>
      </w:r>
    </w:p>
    <w:p w14:paraId="7E17DD55" w14:textId="77777777" w:rsidR="00022915" w:rsidRPr="001F063F" w:rsidRDefault="00022915" w:rsidP="00022915">
      <w:r w:rsidRPr="001F063F">
        <w:t xml:space="preserve">The </w:t>
      </w:r>
      <w:r>
        <w:t>cost-benefit analysis report</w:t>
      </w:r>
      <w:r w:rsidRPr="001F063F">
        <w:t xml:space="preserve"> makes use of</w:t>
      </w:r>
      <w:r>
        <w:t xml:space="preserve"> the willingness to pay </w:t>
      </w:r>
      <w:r w:rsidRPr="001F063F">
        <w:t>to increase recycling with</w:t>
      </w:r>
      <w:r>
        <w:t xml:space="preserve"> the willingness to pay </w:t>
      </w:r>
      <w:r w:rsidRPr="001F063F">
        <w:t xml:space="preserve">to avoid litter estimates. It draws from recalibrated estimates of </w:t>
      </w:r>
      <w:r>
        <w:t xml:space="preserve">the </w:t>
      </w:r>
      <w:r w:rsidRPr="001F063F">
        <w:t xml:space="preserve">PricewaterhouseCoopers (PwC) </w:t>
      </w:r>
      <w:r>
        <w:t>study of willingness to pay</w:t>
      </w:r>
      <w:r w:rsidRPr="001F063F">
        <w:t xml:space="preserve"> for metropolitan NSW regions used in the sensitivity analysis</w:t>
      </w:r>
      <w:r w:rsidRPr="00135EA6">
        <w:t xml:space="preserve"> </w:t>
      </w:r>
      <w:r>
        <w:t>(PwC 2010).</w:t>
      </w:r>
    </w:p>
    <w:p w14:paraId="7492F837" w14:textId="77777777" w:rsidR="00022915" w:rsidRPr="00FA69C5" w:rsidRDefault="00022915" w:rsidP="00022915">
      <w:r w:rsidRPr="001F063F">
        <w:t>The approach for valuing packaging</w:t>
      </w:r>
      <w:r w:rsidRPr="00FA69C5">
        <w:t xml:space="preserve"> waste recycling and public litter reductions follows the frameworks and approaches set out in the O</w:t>
      </w:r>
      <w:r>
        <w:t xml:space="preserve">ffice of Best Practice Regulation’s </w:t>
      </w:r>
      <w:r w:rsidRPr="000F23FA">
        <w:rPr>
          <w:i/>
        </w:rPr>
        <w:t>Cost</w:t>
      </w:r>
      <w:r>
        <w:rPr>
          <w:i/>
        </w:rPr>
        <w:noBreakHyphen/>
      </w:r>
      <w:r w:rsidRPr="000F23FA">
        <w:rPr>
          <w:i/>
        </w:rPr>
        <w:t>benefit analysis guidance note</w:t>
      </w:r>
      <w:r>
        <w:rPr>
          <w:i/>
        </w:rPr>
        <w:t xml:space="preserve"> </w:t>
      </w:r>
      <w:r>
        <w:t>(OBPR 2016)</w:t>
      </w:r>
      <w:r w:rsidRPr="00FA69C5">
        <w:t xml:space="preserve"> and </w:t>
      </w:r>
      <w:r>
        <w:t xml:space="preserve">the </w:t>
      </w:r>
      <w:r w:rsidRPr="00FA69C5">
        <w:t>Australian Government</w:t>
      </w:r>
      <w:r>
        <w:t>’s</w:t>
      </w:r>
      <w:r w:rsidRPr="00FA69C5">
        <w:t xml:space="preserve"> best </w:t>
      </w:r>
      <w:r>
        <w:t>practice</w:t>
      </w:r>
      <w:r w:rsidRPr="00FA69C5">
        <w:t xml:space="preserve"> regulation requirements for environmental valuation</w:t>
      </w:r>
      <w:r w:rsidRPr="00135EA6">
        <w:t xml:space="preserve"> </w:t>
      </w:r>
      <w:r>
        <w:t>(OBPR 2014)</w:t>
      </w:r>
      <w:r w:rsidRPr="00FA69C5">
        <w:t>.</w:t>
      </w:r>
      <w:r w:rsidRPr="001759B1">
        <w:t xml:space="preserve"> </w:t>
      </w:r>
      <w:r w:rsidRPr="00FA69C5">
        <w:t>The approach also draws on recommend</w:t>
      </w:r>
      <w:r>
        <w:t>ed</w:t>
      </w:r>
      <w:r w:rsidRPr="00FA69C5">
        <w:t xml:space="preserve"> approaches for best</w:t>
      </w:r>
      <w:r>
        <w:noBreakHyphen/>
        <w:t>practice</w:t>
      </w:r>
      <w:r w:rsidRPr="00FA69C5">
        <w:t xml:space="preserve"> value transfer from the Productivity Commission</w:t>
      </w:r>
      <w:r>
        <w:t xml:space="preserve"> (Baker &amp; Ruting 2014) </w:t>
      </w:r>
      <w:r w:rsidRPr="00FA69C5">
        <w:t xml:space="preserve">and </w:t>
      </w:r>
      <w:r>
        <w:t>the United Kingdom</w:t>
      </w:r>
      <w:r w:rsidRPr="00FA69C5">
        <w:t xml:space="preserve"> Government</w:t>
      </w:r>
      <w:r>
        <w:t>’s</w:t>
      </w:r>
      <w:r w:rsidRPr="00FA69C5">
        <w:t xml:space="preserve"> recommended values for including local environmental f</w:t>
      </w:r>
      <w:r>
        <w:t>act</w:t>
      </w:r>
      <w:r w:rsidRPr="00FA69C5">
        <w:t>ors in economic analyses.</w:t>
      </w:r>
      <w:r>
        <w:t xml:space="preserve"> </w:t>
      </w:r>
    </w:p>
    <w:p w14:paraId="45495D60" w14:textId="77777777" w:rsidR="00022915" w:rsidRPr="004329E0" w:rsidRDefault="00022915" w:rsidP="00022915">
      <w:pPr>
        <w:pStyle w:val="Heading4"/>
      </w:pPr>
      <w:r w:rsidRPr="004329E0">
        <w:t>Willingness to pay to avoid litter</w:t>
      </w:r>
    </w:p>
    <w:p w14:paraId="2A900E68" w14:textId="77777777" w:rsidR="00022915" w:rsidRDefault="00022915" w:rsidP="00022915">
      <w:r>
        <w:t>To assess the willingness to pay to avoid litter, two key studies were identified for the purpose of value transfer:</w:t>
      </w:r>
      <w:r w:rsidRPr="004A16CE">
        <w:rPr>
          <w:vertAlign w:val="superscript"/>
        </w:rPr>
        <w:footnoteReference w:id="69"/>
      </w:r>
    </w:p>
    <w:p w14:paraId="73858026" w14:textId="77777777" w:rsidR="00022915" w:rsidRPr="007B71AD" w:rsidRDefault="00022915" w:rsidP="00022915">
      <w:pPr>
        <w:pStyle w:val="Bullets1stindent"/>
        <w:spacing w:line="240" w:lineRule="auto"/>
      </w:pPr>
      <w:r w:rsidRPr="007B71AD">
        <w:t xml:space="preserve">PwC, </w:t>
      </w:r>
      <w:r w:rsidRPr="007B71AD">
        <w:rPr>
          <w:i/>
        </w:rPr>
        <w:t>Estimating consumers’ willingness to pay for improvements to packaging and beverage container waste management</w:t>
      </w:r>
      <w:r w:rsidRPr="007B71AD">
        <w:t>, report prepared for the Environment Protection and Heritage Council (EPHC), 2010; and</w:t>
      </w:r>
    </w:p>
    <w:p w14:paraId="63921FDF" w14:textId="77777777" w:rsidR="00022915" w:rsidRPr="007B71AD" w:rsidRDefault="00022915" w:rsidP="00022915">
      <w:pPr>
        <w:pStyle w:val="Bullets1stindent"/>
        <w:spacing w:line="240" w:lineRule="auto"/>
      </w:pPr>
      <w:r w:rsidRPr="007B71AD">
        <w:t xml:space="preserve">M Wardman, A Bristow, J Shires, </w:t>
      </w:r>
      <w:r w:rsidRPr="007B71AD">
        <w:rPr>
          <w:i/>
        </w:rPr>
        <w:t>Estimating the value of a range of local environmental impacts</w:t>
      </w:r>
      <w:r w:rsidRPr="007B71AD">
        <w:t xml:space="preserve">, report prepared for the United Kingdom Department for Environment, Food and Rural Affairs, University of Leeds and Loughborough University, April 2011. </w:t>
      </w:r>
    </w:p>
    <w:p w14:paraId="77DDA7C4" w14:textId="77777777" w:rsidR="00022915" w:rsidRPr="00431CBF" w:rsidRDefault="00022915" w:rsidP="00022915">
      <w:pPr>
        <w:pStyle w:val="Heading4"/>
      </w:pPr>
      <w:r w:rsidRPr="00431CBF">
        <w:t>PricewaterhouseCoopers Australia study</w:t>
      </w:r>
    </w:p>
    <w:p w14:paraId="0D7A10C7" w14:textId="77777777" w:rsidR="00022915" w:rsidRPr="00E0738C" w:rsidRDefault="00022915" w:rsidP="00022915">
      <w:r w:rsidRPr="00431CBF">
        <w:t>In 2010</w:t>
      </w:r>
      <w:r w:rsidRPr="000E443D">
        <w:t>,</w:t>
      </w:r>
      <w:r w:rsidRPr="008D22B5">
        <w:t xml:space="preserve"> PwC was commissioned by the </w:t>
      </w:r>
      <w:r w:rsidRPr="007B71AD">
        <w:t>EPHC</w:t>
      </w:r>
      <w:r w:rsidRPr="00431CBF">
        <w:t xml:space="preserve"> to undertake a study of households’ willingness to pay for recycling (PwC, 2010)</w:t>
      </w:r>
      <w:r w:rsidRPr="000E443D">
        <w:t>.  Th</w:t>
      </w:r>
      <w:r w:rsidRPr="008D22B5">
        <w:t>e study was</w:t>
      </w:r>
      <w:r>
        <w:t xml:space="preserve"> previously recalibrated to estimate the willingness to pay to avoid litter for the NSW CDS Decision RIS. The PwC study was reviewed with the aim of conducting a similar recalibration for Western Australia. </w:t>
      </w:r>
      <w:r w:rsidRPr="00E0738C">
        <w:t>However, the P</w:t>
      </w:r>
      <w:r>
        <w:t>w</w:t>
      </w:r>
      <w:r w:rsidRPr="00E0738C">
        <w:t>C report found that the average</w:t>
      </w:r>
      <w:r>
        <w:t xml:space="preserve"> willingness to pay</w:t>
      </w:r>
      <w:r w:rsidRPr="00E0738C">
        <w:t xml:space="preserve"> of </w:t>
      </w:r>
      <w:r>
        <w:t xml:space="preserve">Western Australia </w:t>
      </w:r>
      <w:r w:rsidRPr="00E0738C">
        <w:t>regional households to reduce visual litter was not statistically different from zero.</w:t>
      </w:r>
    </w:p>
    <w:p w14:paraId="1EE25E76" w14:textId="77777777" w:rsidR="00022915" w:rsidRDefault="00022915" w:rsidP="00022915">
      <w:pPr>
        <w:rPr>
          <w:highlight w:val="yellow"/>
        </w:rPr>
      </w:pPr>
      <w:r w:rsidRPr="00E0738C">
        <w:t xml:space="preserve">Based on the revised estimates, </w:t>
      </w:r>
      <w:r w:rsidRPr="00E0738C">
        <w:fldChar w:fldCharType="begin"/>
      </w:r>
      <w:r w:rsidRPr="00E0738C">
        <w:instrText xml:space="preserve"> REF _Ref499301407 \h </w:instrText>
      </w:r>
      <w:r>
        <w:instrText xml:space="preserve"> \* MERGEFORMAT </w:instrText>
      </w:r>
      <w:r w:rsidRPr="00E0738C">
        <w:fldChar w:fldCharType="separate"/>
      </w:r>
      <w:r w:rsidRPr="005B53D5">
        <w:t xml:space="preserve">Table </w:t>
      </w:r>
      <w:r>
        <w:rPr>
          <w:noProof/>
        </w:rPr>
        <w:t>20</w:t>
      </w:r>
      <w:r w:rsidRPr="00E0738C">
        <w:fldChar w:fldCharType="end"/>
      </w:r>
      <w:r w:rsidRPr="00E0738C">
        <w:t xml:space="preserve"> presents the benefit-transfer based</w:t>
      </w:r>
      <w:r>
        <w:t xml:space="preserve"> the willingness to pay</w:t>
      </w:r>
      <w:r w:rsidRPr="00E0738C">
        <w:t xml:space="preserve"> to reduce public space litter. The conversion of</w:t>
      </w:r>
      <w:r>
        <w:t xml:space="preserve"> the willingness to pay </w:t>
      </w:r>
      <w:r w:rsidRPr="00E0738C">
        <w:t xml:space="preserve">of </w:t>
      </w:r>
      <w:r>
        <w:t xml:space="preserve">Western Australian </w:t>
      </w:r>
      <w:r w:rsidRPr="00E0738C">
        <w:t>households to a $</w:t>
      </w:r>
      <w:r>
        <w:t> </w:t>
      </w:r>
      <w:r w:rsidRPr="00E0738C">
        <w:t>per household and $ per tonne estimate is based on the number of households and tonnes of materials recycled.</w:t>
      </w:r>
    </w:p>
    <w:p w14:paraId="6D4EA93C" w14:textId="77777777" w:rsidR="00022915" w:rsidRDefault="00022915" w:rsidP="00022915">
      <w:r w:rsidRPr="005B53D5">
        <w:t>These estimates are used in the standard modelling, and values as outlined below are used in sensitivity testing.</w:t>
      </w:r>
    </w:p>
    <w:p w14:paraId="7DBF50DD" w14:textId="77777777" w:rsidR="00022915" w:rsidRPr="005B53D5" w:rsidRDefault="00022915" w:rsidP="00022915">
      <w:pPr>
        <w:pStyle w:val="Caption"/>
      </w:pPr>
      <w:bookmarkStart w:id="245" w:name="_Ref499301407"/>
      <w:bookmarkStart w:id="246" w:name="_Toc500154288"/>
      <w:bookmarkStart w:id="247" w:name="_Toc506552698"/>
      <w:bookmarkStart w:id="248" w:name="_Ref509386379"/>
      <w:bookmarkStart w:id="249" w:name="_Toc10031229"/>
      <w:r w:rsidRPr="005B53D5">
        <w:t xml:space="preserve">Table </w:t>
      </w:r>
      <w:r w:rsidR="00CF34D3">
        <w:rPr>
          <w:noProof/>
        </w:rPr>
        <w:fldChar w:fldCharType="begin"/>
      </w:r>
      <w:r w:rsidR="00CF34D3">
        <w:rPr>
          <w:noProof/>
        </w:rPr>
        <w:instrText xml:space="preserve"> SEQ Table \* ARABIC </w:instrText>
      </w:r>
      <w:r w:rsidR="00CF34D3">
        <w:rPr>
          <w:noProof/>
        </w:rPr>
        <w:fldChar w:fldCharType="separate"/>
      </w:r>
      <w:r>
        <w:rPr>
          <w:noProof/>
        </w:rPr>
        <w:t>20</w:t>
      </w:r>
      <w:r w:rsidR="00CF34D3">
        <w:rPr>
          <w:noProof/>
        </w:rPr>
        <w:fldChar w:fldCharType="end"/>
      </w:r>
      <w:bookmarkEnd w:id="245"/>
      <w:r w:rsidRPr="005B53D5">
        <w:t>:</w:t>
      </w:r>
      <w:r>
        <w:t xml:space="preserve"> </w:t>
      </w:r>
      <w:r>
        <w:tab/>
        <w:t>Willingness to pay</w:t>
      </w:r>
      <w:r w:rsidRPr="005B53D5">
        <w:t xml:space="preserve"> to reduce public space litter, </w:t>
      </w:r>
      <w:r>
        <w:t xml:space="preserve">Western Australian </w:t>
      </w:r>
      <w:r w:rsidRPr="005B53D5">
        <w:t>households ($2017)</w:t>
      </w:r>
      <w:bookmarkEnd w:id="246"/>
      <w:bookmarkEnd w:id="247"/>
      <w:bookmarkEnd w:id="248"/>
      <w:bookmarkEnd w:id="2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illingness to pay to reduce public space litter, WA households in 2017 values"/>
        <w:tblDescription w:val="Summary of the willingness to pay estimates for reduced litter in public spaces."/>
      </w:tblPr>
      <w:tblGrid>
        <w:gridCol w:w="2958"/>
        <w:gridCol w:w="2525"/>
        <w:gridCol w:w="1768"/>
        <w:gridCol w:w="1768"/>
      </w:tblGrid>
      <w:tr w:rsidR="00022915" w:rsidRPr="006A5DB5" w14:paraId="37808438" w14:textId="77777777" w:rsidTr="00C53AB1">
        <w:trPr>
          <w:cantSplit/>
          <w:trHeight w:val="500"/>
          <w:tblHeader/>
        </w:trPr>
        <w:tc>
          <w:tcPr>
            <w:tcW w:w="1640" w:type="pct"/>
            <w:shd w:val="clear" w:color="auto" w:fill="D9D9D9" w:themeFill="background1" w:themeFillShade="D9"/>
            <w:vAlign w:val="center"/>
          </w:tcPr>
          <w:p w14:paraId="2F8E280C" w14:textId="77777777" w:rsidR="00022915" w:rsidRPr="00566994" w:rsidRDefault="00022915" w:rsidP="00C53AB1">
            <w:pPr>
              <w:pStyle w:val="Tableheading0"/>
              <w:widowControl w:val="0"/>
              <w:rPr>
                <w:rFonts w:cs="Arial"/>
              </w:rPr>
            </w:pPr>
          </w:p>
        </w:tc>
        <w:tc>
          <w:tcPr>
            <w:tcW w:w="1400" w:type="pct"/>
            <w:shd w:val="clear" w:color="auto" w:fill="D9D9D9" w:themeFill="background1" w:themeFillShade="D9"/>
            <w:vAlign w:val="center"/>
            <w:hideMark/>
          </w:tcPr>
          <w:p w14:paraId="7BA30E47" w14:textId="77777777" w:rsidR="00022915" w:rsidRPr="00DA7A26" w:rsidRDefault="00022915" w:rsidP="00C53AB1">
            <w:pPr>
              <w:pStyle w:val="Tableheading0"/>
            </w:pPr>
            <w:r w:rsidRPr="00DA7A26">
              <w:t>Value of litter reduction</w:t>
            </w:r>
          </w:p>
        </w:tc>
        <w:tc>
          <w:tcPr>
            <w:tcW w:w="980" w:type="pct"/>
            <w:shd w:val="clear" w:color="auto" w:fill="D9D9D9" w:themeFill="background1" w:themeFillShade="D9"/>
            <w:vAlign w:val="center"/>
            <w:hideMark/>
          </w:tcPr>
          <w:p w14:paraId="3967A34B" w14:textId="77777777" w:rsidR="00022915" w:rsidRPr="00DA7A26" w:rsidRDefault="00022915" w:rsidP="00C53AB1">
            <w:pPr>
              <w:pStyle w:val="Tableheading0"/>
            </w:pPr>
            <w:r w:rsidRPr="00DA7A26">
              <w:t>Lower 95% CI</w:t>
            </w:r>
          </w:p>
        </w:tc>
        <w:tc>
          <w:tcPr>
            <w:tcW w:w="980" w:type="pct"/>
            <w:shd w:val="clear" w:color="auto" w:fill="D9D9D9" w:themeFill="background1" w:themeFillShade="D9"/>
            <w:vAlign w:val="center"/>
            <w:hideMark/>
          </w:tcPr>
          <w:p w14:paraId="57F0447E" w14:textId="77777777" w:rsidR="00022915" w:rsidRPr="00DA7A26" w:rsidRDefault="00022915" w:rsidP="00C53AB1">
            <w:pPr>
              <w:pStyle w:val="Tableheading0"/>
            </w:pPr>
            <w:r w:rsidRPr="00DA7A26">
              <w:t>Upper 95% CI</w:t>
            </w:r>
          </w:p>
        </w:tc>
      </w:tr>
      <w:tr w:rsidR="00022915" w:rsidRPr="006A5DB5" w14:paraId="10CA74A0" w14:textId="77777777" w:rsidTr="00C53AB1">
        <w:trPr>
          <w:cantSplit/>
          <w:trHeight w:val="290"/>
        </w:trPr>
        <w:tc>
          <w:tcPr>
            <w:tcW w:w="1640" w:type="pct"/>
            <w:shd w:val="clear" w:color="auto" w:fill="auto"/>
            <w:vAlign w:val="center"/>
          </w:tcPr>
          <w:p w14:paraId="585D2824" w14:textId="77777777" w:rsidR="00022915" w:rsidRPr="00566994" w:rsidRDefault="00022915" w:rsidP="00C53AB1">
            <w:pPr>
              <w:pStyle w:val="Tabletext0"/>
              <w:keepNext/>
              <w:widowControl w:val="0"/>
              <w:spacing w:before="60"/>
              <w:rPr>
                <w:rFonts w:cs="Arial"/>
                <w:szCs w:val="20"/>
              </w:rPr>
            </w:pPr>
            <w:r>
              <w:rPr>
                <w:rFonts w:cs="Arial"/>
                <w:szCs w:val="20"/>
              </w:rPr>
              <w:t>Ten per cent</w:t>
            </w:r>
            <w:r w:rsidRPr="00566994">
              <w:rPr>
                <w:rFonts w:cs="Arial"/>
                <w:szCs w:val="20"/>
              </w:rPr>
              <w:t xml:space="preserve"> reduction in public place litter</w:t>
            </w:r>
          </w:p>
        </w:tc>
        <w:tc>
          <w:tcPr>
            <w:tcW w:w="1400" w:type="pct"/>
            <w:shd w:val="clear" w:color="auto" w:fill="auto"/>
            <w:noWrap/>
            <w:hideMark/>
          </w:tcPr>
          <w:p w14:paraId="08D9D814" w14:textId="77777777" w:rsidR="00022915" w:rsidRPr="00566994" w:rsidRDefault="00022915" w:rsidP="00C53AB1">
            <w:pPr>
              <w:pStyle w:val="Tablenumber"/>
              <w:rPr>
                <w:szCs w:val="20"/>
              </w:rPr>
            </w:pPr>
            <w:r w:rsidRPr="00566994">
              <w:t>$22,180,000</w:t>
            </w:r>
          </w:p>
        </w:tc>
        <w:tc>
          <w:tcPr>
            <w:tcW w:w="980" w:type="pct"/>
            <w:shd w:val="clear" w:color="auto" w:fill="auto"/>
            <w:noWrap/>
            <w:hideMark/>
          </w:tcPr>
          <w:p w14:paraId="2843396E" w14:textId="77777777" w:rsidR="00022915" w:rsidRPr="00566994" w:rsidRDefault="00022915" w:rsidP="00C53AB1">
            <w:pPr>
              <w:pStyle w:val="Tablenumber"/>
              <w:rPr>
                <w:szCs w:val="20"/>
              </w:rPr>
            </w:pPr>
            <w:r w:rsidRPr="00566994">
              <w:t>$2,890,000</w:t>
            </w:r>
          </w:p>
        </w:tc>
        <w:tc>
          <w:tcPr>
            <w:tcW w:w="980" w:type="pct"/>
            <w:shd w:val="clear" w:color="auto" w:fill="auto"/>
            <w:noWrap/>
            <w:hideMark/>
          </w:tcPr>
          <w:p w14:paraId="35FEF359" w14:textId="77777777" w:rsidR="00022915" w:rsidRPr="00566994" w:rsidRDefault="00022915" w:rsidP="00C53AB1">
            <w:pPr>
              <w:pStyle w:val="Tablenumber"/>
              <w:rPr>
                <w:szCs w:val="20"/>
              </w:rPr>
            </w:pPr>
            <w:r w:rsidRPr="00566994">
              <w:t>$45,800,000</w:t>
            </w:r>
          </w:p>
        </w:tc>
      </w:tr>
      <w:tr w:rsidR="00022915" w:rsidRPr="006A5DB5" w14:paraId="26A3B5EC" w14:textId="77777777" w:rsidTr="00C53AB1">
        <w:trPr>
          <w:cantSplit/>
          <w:trHeight w:val="300"/>
        </w:trPr>
        <w:tc>
          <w:tcPr>
            <w:tcW w:w="1640" w:type="pct"/>
            <w:shd w:val="clear" w:color="auto" w:fill="auto"/>
            <w:vAlign w:val="center"/>
          </w:tcPr>
          <w:p w14:paraId="41E8E90E" w14:textId="77777777" w:rsidR="00022915" w:rsidRPr="00566994" w:rsidRDefault="00022915" w:rsidP="00C53AB1">
            <w:pPr>
              <w:pStyle w:val="Tabletext0"/>
              <w:widowControl w:val="0"/>
              <w:spacing w:before="60"/>
              <w:rPr>
                <w:rFonts w:cs="Arial"/>
                <w:szCs w:val="20"/>
              </w:rPr>
            </w:pPr>
            <w:r>
              <w:rPr>
                <w:rFonts w:cs="Arial"/>
                <w:szCs w:val="20"/>
              </w:rPr>
              <w:t>One per cent</w:t>
            </w:r>
            <w:r w:rsidRPr="00566994">
              <w:rPr>
                <w:rFonts w:cs="Arial"/>
                <w:szCs w:val="20"/>
              </w:rPr>
              <w:t xml:space="preserve"> reduction in litter</w:t>
            </w:r>
            <w:r>
              <w:rPr>
                <w:rFonts w:cs="Arial"/>
                <w:szCs w:val="20"/>
              </w:rPr>
              <w:br/>
            </w:r>
            <w:r w:rsidRPr="00566994">
              <w:rPr>
                <w:rFonts w:cs="Arial"/>
                <w:szCs w:val="20"/>
              </w:rPr>
              <w:t>($</w:t>
            </w:r>
            <w:r>
              <w:rPr>
                <w:rFonts w:cs="Arial"/>
                <w:szCs w:val="20"/>
              </w:rPr>
              <w:t>/</w:t>
            </w:r>
            <w:r w:rsidRPr="00566994">
              <w:rPr>
                <w:rFonts w:cs="Arial"/>
                <w:szCs w:val="20"/>
              </w:rPr>
              <w:t>household</w:t>
            </w:r>
            <w:r>
              <w:rPr>
                <w:rFonts w:cs="Arial"/>
                <w:szCs w:val="20"/>
              </w:rPr>
              <w:t>/</w:t>
            </w:r>
            <w:r w:rsidRPr="00566994">
              <w:rPr>
                <w:rFonts w:cs="Arial"/>
                <w:szCs w:val="20"/>
              </w:rPr>
              <w:t>year)</w:t>
            </w:r>
          </w:p>
        </w:tc>
        <w:tc>
          <w:tcPr>
            <w:tcW w:w="1400" w:type="pct"/>
            <w:shd w:val="clear" w:color="auto" w:fill="auto"/>
            <w:noWrap/>
          </w:tcPr>
          <w:p w14:paraId="1F418A24" w14:textId="77777777" w:rsidR="00022915" w:rsidRPr="00566994" w:rsidRDefault="00022915" w:rsidP="00C53AB1">
            <w:pPr>
              <w:pStyle w:val="Tablenumber"/>
              <w:rPr>
                <w:szCs w:val="20"/>
              </w:rPr>
            </w:pPr>
            <w:r w:rsidRPr="00566994">
              <w:t>$4.34</w:t>
            </w:r>
          </w:p>
        </w:tc>
        <w:tc>
          <w:tcPr>
            <w:tcW w:w="980" w:type="pct"/>
            <w:shd w:val="clear" w:color="auto" w:fill="auto"/>
            <w:noWrap/>
          </w:tcPr>
          <w:p w14:paraId="305D4891" w14:textId="77777777" w:rsidR="00022915" w:rsidRPr="00566994" w:rsidRDefault="00022915" w:rsidP="00C53AB1">
            <w:pPr>
              <w:pStyle w:val="Tablenumber"/>
              <w:rPr>
                <w:szCs w:val="20"/>
              </w:rPr>
            </w:pPr>
            <w:r w:rsidRPr="00566994">
              <w:t>$0.57</w:t>
            </w:r>
          </w:p>
        </w:tc>
        <w:tc>
          <w:tcPr>
            <w:tcW w:w="980" w:type="pct"/>
            <w:shd w:val="clear" w:color="auto" w:fill="auto"/>
            <w:noWrap/>
          </w:tcPr>
          <w:p w14:paraId="05B5B314" w14:textId="77777777" w:rsidR="00022915" w:rsidRPr="00566994" w:rsidRDefault="00022915" w:rsidP="00C53AB1">
            <w:pPr>
              <w:pStyle w:val="Tablenumber"/>
              <w:rPr>
                <w:szCs w:val="20"/>
              </w:rPr>
            </w:pPr>
            <w:r w:rsidRPr="00566994">
              <w:t>$8.97</w:t>
            </w:r>
          </w:p>
        </w:tc>
      </w:tr>
      <w:tr w:rsidR="00022915" w:rsidRPr="006A5DB5" w14:paraId="4CA7F175" w14:textId="77777777" w:rsidTr="00C53AB1">
        <w:trPr>
          <w:trHeight w:val="300"/>
        </w:trPr>
        <w:tc>
          <w:tcPr>
            <w:tcW w:w="1640" w:type="pct"/>
            <w:shd w:val="clear" w:color="auto" w:fill="auto"/>
            <w:vAlign w:val="center"/>
          </w:tcPr>
          <w:p w14:paraId="7186E64A" w14:textId="77777777" w:rsidR="00022915" w:rsidRPr="00566994" w:rsidRDefault="00022915" w:rsidP="00C53AB1">
            <w:pPr>
              <w:pStyle w:val="Tabletext0"/>
              <w:widowControl w:val="0"/>
              <w:spacing w:before="60"/>
              <w:rPr>
                <w:rFonts w:cs="Arial"/>
                <w:szCs w:val="20"/>
              </w:rPr>
            </w:pPr>
            <w:r w:rsidRPr="00566994">
              <w:rPr>
                <w:rFonts w:cs="Arial"/>
                <w:szCs w:val="20"/>
              </w:rPr>
              <w:t>Litter reduction ($/tonne)</w:t>
            </w:r>
          </w:p>
        </w:tc>
        <w:tc>
          <w:tcPr>
            <w:tcW w:w="1400" w:type="pct"/>
            <w:shd w:val="clear" w:color="auto" w:fill="auto"/>
            <w:noWrap/>
          </w:tcPr>
          <w:p w14:paraId="5F3D90A1" w14:textId="77777777" w:rsidR="00022915" w:rsidRPr="00566994" w:rsidRDefault="00022915" w:rsidP="00C53AB1">
            <w:pPr>
              <w:pStyle w:val="Tablenumber"/>
              <w:rPr>
                <w:szCs w:val="20"/>
              </w:rPr>
            </w:pPr>
            <w:r w:rsidRPr="00566994">
              <w:t>$21,947</w:t>
            </w:r>
          </w:p>
        </w:tc>
        <w:tc>
          <w:tcPr>
            <w:tcW w:w="980" w:type="pct"/>
            <w:shd w:val="clear" w:color="auto" w:fill="auto"/>
            <w:noWrap/>
          </w:tcPr>
          <w:p w14:paraId="57E2521E" w14:textId="77777777" w:rsidR="00022915" w:rsidRPr="00566994" w:rsidRDefault="00022915" w:rsidP="00C53AB1">
            <w:pPr>
              <w:pStyle w:val="Tablenumber"/>
              <w:rPr>
                <w:szCs w:val="20"/>
              </w:rPr>
            </w:pPr>
            <w:r w:rsidRPr="00566994">
              <w:t>$2,860</w:t>
            </w:r>
          </w:p>
        </w:tc>
        <w:tc>
          <w:tcPr>
            <w:tcW w:w="980" w:type="pct"/>
            <w:shd w:val="clear" w:color="auto" w:fill="auto"/>
            <w:noWrap/>
          </w:tcPr>
          <w:p w14:paraId="20753CBD" w14:textId="77777777" w:rsidR="00022915" w:rsidRPr="00566994" w:rsidRDefault="00022915" w:rsidP="00C53AB1">
            <w:pPr>
              <w:pStyle w:val="Tablenumber"/>
              <w:rPr>
                <w:szCs w:val="20"/>
              </w:rPr>
            </w:pPr>
            <w:r w:rsidRPr="00566994">
              <w:t>$45,318</w:t>
            </w:r>
          </w:p>
        </w:tc>
      </w:tr>
    </w:tbl>
    <w:p w14:paraId="61E6E454" w14:textId="77777777" w:rsidR="00022915" w:rsidRDefault="00022915" w:rsidP="00022915">
      <w:pPr>
        <w:pStyle w:val="Heading4"/>
      </w:pPr>
      <w:r w:rsidRPr="00E72A9D">
        <w:t>Department of Environment</w:t>
      </w:r>
      <w:r>
        <w:t xml:space="preserve"> (United Kingdom)</w:t>
      </w:r>
      <w:r w:rsidRPr="00E72A9D">
        <w:t>, Food and Rural Affairs</w:t>
      </w:r>
      <w:r w:rsidRPr="00E72A9D" w:rsidDel="00E72A9D">
        <w:t xml:space="preserve"> </w:t>
      </w:r>
      <w:r>
        <w:t>study</w:t>
      </w:r>
    </w:p>
    <w:p w14:paraId="71D247A6" w14:textId="77777777" w:rsidR="00022915" w:rsidRPr="00FB470D" w:rsidRDefault="00022915" w:rsidP="00022915">
      <w:r>
        <w:t>In</w:t>
      </w:r>
      <w:r w:rsidRPr="00FB470D">
        <w:t xml:space="preserve"> 2011</w:t>
      </w:r>
      <w:r>
        <w:t>,</w:t>
      </w:r>
      <w:r w:rsidRPr="00FB470D">
        <w:t xml:space="preserve"> </w:t>
      </w:r>
      <w:r>
        <w:t>the United Kingdom</w:t>
      </w:r>
      <w:r w:rsidRPr="00FB470D">
        <w:t xml:space="preserve"> Department of Environment, Food and Rural Affairs </w:t>
      </w:r>
      <w:r>
        <w:t xml:space="preserve">commissioned a study </w:t>
      </w:r>
      <w:r w:rsidRPr="00FB470D">
        <w:t>to estimate the economic value of local environmental amenity f</w:t>
      </w:r>
      <w:r>
        <w:t>act</w:t>
      </w:r>
      <w:r w:rsidRPr="00FB470D">
        <w:t>ors</w:t>
      </w:r>
      <w:r w:rsidRPr="00135EA6">
        <w:t xml:space="preserve"> </w:t>
      </w:r>
      <w:r>
        <w:t>(Wardman et al. 2011)</w:t>
      </w:r>
      <w:r w:rsidRPr="00FB470D">
        <w:t xml:space="preserve">. </w:t>
      </w:r>
      <w:r>
        <w:t>The fact</w:t>
      </w:r>
      <w:r w:rsidRPr="00FB470D">
        <w:t>ors were:</w:t>
      </w:r>
    </w:p>
    <w:p w14:paraId="2B13A30B" w14:textId="77777777" w:rsidR="00022915" w:rsidRPr="00FB470D" w:rsidRDefault="00022915" w:rsidP="00022915">
      <w:pPr>
        <w:pStyle w:val="Bullets1stindent"/>
        <w:spacing w:before="60" w:line="240" w:lineRule="auto"/>
      </w:pPr>
      <w:r w:rsidRPr="00FB470D">
        <w:t>urban quiet areas</w:t>
      </w:r>
      <w:r>
        <w:t>;</w:t>
      </w:r>
    </w:p>
    <w:p w14:paraId="2B629AAA" w14:textId="77777777" w:rsidR="00022915" w:rsidRPr="00FB470D" w:rsidRDefault="00022915" w:rsidP="00022915">
      <w:pPr>
        <w:pStyle w:val="Bullets1stindent"/>
        <w:spacing w:before="60" w:line="240" w:lineRule="auto"/>
      </w:pPr>
      <w:r w:rsidRPr="00FB470D">
        <w:t>fly-tipping</w:t>
      </w:r>
      <w:r>
        <w:t>;</w:t>
      </w:r>
    </w:p>
    <w:p w14:paraId="00D4320B" w14:textId="77777777" w:rsidR="00022915" w:rsidRPr="00FB470D" w:rsidRDefault="00022915" w:rsidP="00022915">
      <w:pPr>
        <w:pStyle w:val="Bullets1stindent"/>
        <w:spacing w:before="60" w:line="240" w:lineRule="auto"/>
      </w:pPr>
      <w:r w:rsidRPr="00FB470D">
        <w:t>litter</w:t>
      </w:r>
      <w:r>
        <w:t>;</w:t>
      </w:r>
    </w:p>
    <w:p w14:paraId="67909201" w14:textId="77777777" w:rsidR="00022915" w:rsidRPr="00FB470D" w:rsidRDefault="00022915" w:rsidP="00022915">
      <w:pPr>
        <w:pStyle w:val="Bullets1stindent"/>
        <w:spacing w:before="60" w:line="240" w:lineRule="auto"/>
      </w:pPr>
      <w:r w:rsidRPr="00FB470D">
        <w:t>fly-posting</w:t>
      </w:r>
      <w:r>
        <w:t>;</w:t>
      </w:r>
    </w:p>
    <w:p w14:paraId="303E318B" w14:textId="77777777" w:rsidR="00022915" w:rsidRPr="00FB470D" w:rsidRDefault="00022915" w:rsidP="00022915">
      <w:pPr>
        <w:pStyle w:val="Bullets1stindent"/>
        <w:spacing w:before="60" w:line="240" w:lineRule="auto"/>
      </w:pPr>
      <w:r w:rsidRPr="00FB470D">
        <w:t>graffiti</w:t>
      </w:r>
      <w:r>
        <w:t>;</w:t>
      </w:r>
    </w:p>
    <w:p w14:paraId="5CFF6621" w14:textId="77777777" w:rsidR="00022915" w:rsidRPr="00FB470D" w:rsidRDefault="00022915" w:rsidP="00022915">
      <w:pPr>
        <w:pStyle w:val="Bullets1stindent"/>
        <w:spacing w:before="60" w:line="240" w:lineRule="auto"/>
      </w:pPr>
      <w:r w:rsidRPr="00FB470D">
        <w:t>dog-fouling</w:t>
      </w:r>
      <w:r>
        <w:t>;</w:t>
      </w:r>
    </w:p>
    <w:p w14:paraId="4CFDE883" w14:textId="77777777" w:rsidR="00022915" w:rsidRPr="00FB470D" w:rsidRDefault="00022915" w:rsidP="00022915">
      <w:pPr>
        <w:pStyle w:val="Bullets1stindent"/>
        <w:spacing w:before="60" w:line="240" w:lineRule="auto"/>
      </w:pPr>
      <w:r w:rsidRPr="00FB470D">
        <w:t>chewing gum</w:t>
      </w:r>
      <w:r>
        <w:t>;</w:t>
      </w:r>
    </w:p>
    <w:p w14:paraId="43CDD257" w14:textId="77777777" w:rsidR="00022915" w:rsidRPr="00FB470D" w:rsidRDefault="00022915" w:rsidP="00022915">
      <w:pPr>
        <w:pStyle w:val="Bullets1stindent"/>
        <w:spacing w:before="60" w:line="240" w:lineRule="auto"/>
      </w:pPr>
      <w:r w:rsidRPr="00FB470D">
        <w:t>trees</w:t>
      </w:r>
      <w:r>
        <w:t>;</w:t>
      </w:r>
    </w:p>
    <w:p w14:paraId="4A0B2AE6" w14:textId="77777777" w:rsidR="00022915" w:rsidRPr="00FB470D" w:rsidRDefault="00022915" w:rsidP="00022915">
      <w:pPr>
        <w:pStyle w:val="Bullets1stindent"/>
        <w:spacing w:before="60" w:line="240" w:lineRule="auto"/>
      </w:pPr>
      <w:r w:rsidRPr="00FB470D">
        <w:t>light pollution</w:t>
      </w:r>
      <w:r>
        <w:t>; and</w:t>
      </w:r>
    </w:p>
    <w:p w14:paraId="2979847C" w14:textId="77777777" w:rsidR="00022915" w:rsidRPr="00FB470D" w:rsidRDefault="00022915" w:rsidP="00022915">
      <w:pPr>
        <w:pStyle w:val="Bullets1stindent"/>
        <w:spacing w:before="60" w:line="240" w:lineRule="auto"/>
      </w:pPr>
      <w:r w:rsidRPr="00FB470D">
        <w:t>odour.</w:t>
      </w:r>
    </w:p>
    <w:p w14:paraId="35DC551A" w14:textId="77777777" w:rsidR="00022915" w:rsidRDefault="00022915" w:rsidP="00022915">
      <w:r>
        <w:t>T</w:t>
      </w:r>
      <w:r w:rsidRPr="00DB02D0">
        <w:t>he benefit</w:t>
      </w:r>
      <w:r>
        <w:noBreakHyphen/>
      </w:r>
      <w:r w:rsidRPr="00DB02D0">
        <w:t xml:space="preserve">transfer estimates </w:t>
      </w:r>
      <w:r>
        <w:t xml:space="preserve">resulting from this study </w:t>
      </w:r>
      <w:r w:rsidRPr="00DB02D0">
        <w:t xml:space="preserve">are the </w:t>
      </w:r>
      <w:r>
        <w:t xml:space="preserve">United Kingdom </w:t>
      </w:r>
      <w:r w:rsidRPr="00DB02D0">
        <w:t xml:space="preserve">Government’s recommended parameters for incorporating local environmental values for things </w:t>
      </w:r>
      <w:r>
        <w:t>such as</w:t>
      </w:r>
      <w:r w:rsidRPr="00DB02D0">
        <w:t xml:space="preserve"> litter, noise pollution, graffiti and other urban waste into </w:t>
      </w:r>
      <w:r>
        <w:t>cost-benefit analyses</w:t>
      </w:r>
      <w:r w:rsidRPr="00DB02D0">
        <w:t>.</w:t>
      </w:r>
    </w:p>
    <w:p w14:paraId="60B987EE" w14:textId="77777777" w:rsidR="00022915" w:rsidRDefault="00022915" w:rsidP="00022915">
      <w:r w:rsidRPr="00A80A64">
        <w:t xml:space="preserve">Using benefit transfer, </w:t>
      </w:r>
      <w:r>
        <w:t>Marsden Jacob Associates</w:t>
      </w:r>
      <w:r w:rsidRPr="00A80A64">
        <w:t xml:space="preserve"> estimate</w:t>
      </w:r>
      <w:r>
        <w:t>s the willingness to pay using recalibrated study results from the United Kingdom to be between $67.78 and $81.37 per person per year</w:t>
      </w:r>
      <w:r w:rsidRPr="00A80A64">
        <w:t>.</w:t>
      </w:r>
    </w:p>
    <w:p w14:paraId="48A0AC39" w14:textId="77777777" w:rsidR="00022915" w:rsidRPr="00261549" w:rsidRDefault="00022915" w:rsidP="00022915">
      <w:r w:rsidRPr="00261549">
        <w:t xml:space="preserve">These benefit transfer estimates are significantly </w:t>
      </w:r>
      <w:r>
        <w:t>higher than the original 2010 Pw</w:t>
      </w:r>
      <w:r w:rsidRPr="00261549">
        <w:t>C estimates</w:t>
      </w:r>
      <w:r>
        <w:t xml:space="preserve"> (for Western Australian metropolitan regions)</w:t>
      </w:r>
      <w:r w:rsidRPr="00261549">
        <w:t>.</w:t>
      </w:r>
      <w:r>
        <w:t xml:space="preserve"> </w:t>
      </w:r>
      <w:r w:rsidRPr="00261549">
        <w:t>Several points should be noted here:</w:t>
      </w:r>
    </w:p>
    <w:p w14:paraId="56FBDCB9" w14:textId="77777777" w:rsidR="00022915" w:rsidRPr="00E96A3F" w:rsidRDefault="00022915" w:rsidP="00022915">
      <w:pPr>
        <w:pStyle w:val="Bullets1stindent"/>
        <w:spacing w:line="240" w:lineRule="auto"/>
      </w:pPr>
      <w:r w:rsidRPr="00E96A3F">
        <w:t xml:space="preserve">Because of the elevated results (in comparison to the </w:t>
      </w:r>
      <w:r>
        <w:t>PwC</w:t>
      </w:r>
      <w:r w:rsidRPr="00E96A3F">
        <w:t xml:space="preserve"> study), </w:t>
      </w:r>
      <w:r>
        <w:t>Marsden Jacob Associates</w:t>
      </w:r>
      <w:r w:rsidRPr="00E96A3F">
        <w:t xml:space="preserve"> have cont</w:t>
      </w:r>
      <w:r>
        <w:t>act</w:t>
      </w:r>
      <w:r w:rsidRPr="00E96A3F">
        <w:t xml:space="preserve">ed the </w:t>
      </w:r>
      <w:r>
        <w:t>United Kingdom</w:t>
      </w:r>
      <w:r w:rsidRPr="00E96A3F">
        <w:t xml:space="preserve"> study leaders, who confirmed that the results have been correctly interpreted and adjusted for an Australian</w:t>
      </w:r>
      <w:r>
        <w:t xml:space="preserve"> and/or Western Australian </w:t>
      </w:r>
      <w:r w:rsidRPr="00E96A3F">
        <w:t>context.</w:t>
      </w:r>
    </w:p>
    <w:p w14:paraId="174F9321" w14:textId="77777777" w:rsidR="00022915" w:rsidRDefault="00022915" w:rsidP="00022915">
      <w:pPr>
        <w:pStyle w:val="Bullets1stindent"/>
        <w:spacing w:line="240" w:lineRule="auto"/>
      </w:pPr>
      <w:r>
        <w:t>An advantage of the United Kingdom study is that willingness to pay</w:t>
      </w:r>
      <w:r w:rsidRPr="00A10FD4">
        <w:t xml:space="preserve"> valuations for improvements</w:t>
      </w:r>
      <w:r>
        <w:t xml:space="preserve"> in local environmental factors were</w:t>
      </w:r>
      <w:r w:rsidRPr="00A10FD4">
        <w:t xml:space="preserve"> all expressed on a com</w:t>
      </w:r>
      <w:r>
        <w:t xml:space="preserve">mon 0–10 scale (from bad to good). This translates directly to 10 per cent incremental improvements from any baseline condition. </w:t>
      </w:r>
    </w:p>
    <w:p w14:paraId="62CC1E5F" w14:textId="77777777" w:rsidR="00022915" w:rsidRDefault="00022915" w:rsidP="00022915">
      <w:pPr>
        <w:pStyle w:val="Bullets1stindent"/>
        <w:keepNext/>
        <w:spacing w:line="240" w:lineRule="auto"/>
      </w:pPr>
      <w:r>
        <w:t>We think there are several reasons that the willingness to pay values are higher than the PwC estimates:</w:t>
      </w:r>
    </w:p>
    <w:p w14:paraId="4BB603FE" w14:textId="77777777" w:rsidR="00022915" w:rsidRDefault="00022915" w:rsidP="00022915">
      <w:pPr>
        <w:pStyle w:val="Bullets2ndindent"/>
      </w:pPr>
      <w:r>
        <w:t>Payments are for local litter reduction, and people may be often willing to pay more for this proximity benefit.</w:t>
      </w:r>
    </w:p>
    <w:p w14:paraId="20C40D2E" w14:textId="77777777" w:rsidR="00022915" w:rsidRDefault="00022915" w:rsidP="00022915">
      <w:pPr>
        <w:pStyle w:val="Bullets2ndindent"/>
      </w:pPr>
      <w:r>
        <w:t>The litter-related images used in the study are particular to the United Kingdom (</w:t>
      </w:r>
      <w:r>
        <w:fldChar w:fldCharType="begin"/>
      </w:r>
      <w:r>
        <w:instrText xml:space="preserve"> REF _Ref447009845 \h  \* MERGEFORMAT </w:instrText>
      </w:r>
      <w:r>
        <w:fldChar w:fldCharType="separate"/>
      </w:r>
      <w:r>
        <w:t>Figure 7</w:t>
      </w:r>
      <w:r>
        <w:fldChar w:fldCharType="end"/>
      </w:r>
      <w:r>
        <w:t>). In particular, the considerably narrower kerbsides may mean that people are willing to pay more for this proximity benefit.</w:t>
      </w:r>
    </w:p>
    <w:p w14:paraId="1C3A5263" w14:textId="77777777" w:rsidR="00022915" w:rsidRDefault="00022915" w:rsidP="00022915">
      <w:pPr>
        <w:pStyle w:val="Bullets2ndindent"/>
      </w:pPr>
      <w:r>
        <w:t>In the United Kingdom study, ‘litter’ means all litter, not just packaging waste. As a result, the United Kingdom study estimates are for all public litter, not just packaging waste.</w:t>
      </w:r>
    </w:p>
    <w:p w14:paraId="04776E0B" w14:textId="77777777" w:rsidR="00022915" w:rsidRDefault="00022915" w:rsidP="00022915">
      <w:pPr>
        <w:pStyle w:val="Bullets1stindent"/>
        <w:spacing w:line="240" w:lineRule="auto"/>
      </w:pPr>
      <w:r>
        <w:t xml:space="preserve">We have adjusted the United Kingdom value estimates for purchasing power parity differences. A key assumption is that United Kingdom and Western Australian populations experience similar loss of amenity from public space litter. </w:t>
      </w:r>
    </w:p>
    <w:p w14:paraId="74C559CF" w14:textId="77777777" w:rsidR="00022915" w:rsidRDefault="00022915" w:rsidP="00022915">
      <w:pPr>
        <w:pStyle w:val="Bullets1stindent"/>
        <w:spacing w:line="240" w:lineRule="auto"/>
      </w:pPr>
      <w:r>
        <w:t xml:space="preserve">We have restricted the aggregation to people over the age of 18 years in Western Australia, given that the valuation survey did not survey people younger than 18. </w:t>
      </w:r>
    </w:p>
    <w:p w14:paraId="521354C8" w14:textId="77777777" w:rsidR="00022915" w:rsidRDefault="00022915" w:rsidP="00022915">
      <w:pPr>
        <w:pStyle w:val="Caption"/>
      </w:pPr>
      <w:bookmarkStart w:id="250" w:name="_Ref447009845"/>
      <w:bookmarkStart w:id="251" w:name="_Toc500154299"/>
      <w:bookmarkStart w:id="252" w:name="_Toc506554051"/>
      <w:bookmarkStart w:id="253" w:name="_Toc10031208"/>
      <w:r>
        <w:t xml:space="preserve">Figure </w:t>
      </w:r>
      <w:r w:rsidR="00CF34D3">
        <w:rPr>
          <w:noProof/>
        </w:rPr>
        <w:fldChar w:fldCharType="begin"/>
      </w:r>
      <w:r w:rsidR="00CF34D3">
        <w:rPr>
          <w:noProof/>
        </w:rPr>
        <w:instrText xml:space="preserve"> SEQ Figure \* ARABIC </w:instrText>
      </w:r>
      <w:r w:rsidR="00CF34D3">
        <w:rPr>
          <w:noProof/>
        </w:rPr>
        <w:fldChar w:fldCharType="separate"/>
      </w:r>
      <w:r>
        <w:rPr>
          <w:noProof/>
        </w:rPr>
        <w:t>7</w:t>
      </w:r>
      <w:r w:rsidR="00CF34D3">
        <w:rPr>
          <w:noProof/>
        </w:rPr>
        <w:fldChar w:fldCharType="end"/>
      </w:r>
      <w:bookmarkEnd w:id="250"/>
      <w:r>
        <w:t>: Litter images, United Kingdom study</w:t>
      </w:r>
      <w:bookmarkEnd w:id="251"/>
      <w:bookmarkEnd w:id="252"/>
      <w:bookmarkEnd w:id="253"/>
    </w:p>
    <w:p w14:paraId="4AA85CCA" w14:textId="77777777" w:rsidR="00022915" w:rsidRDefault="00022915" w:rsidP="00022915">
      <w:r w:rsidRPr="005E4EA5">
        <w:rPr>
          <w:noProof/>
          <w:lang w:eastAsia="en-AU"/>
        </w:rPr>
        <w:drawing>
          <wp:inline distT="0" distB="0" distL="0" distR="0" wp14:anchorId="296C9960" wp14:editId="4644BD09">
            <wp:extent cx="5397500" cy="1225550"/>
            <wp:effectExtent l="0" t="0" r="0" b="0"/>
            <wp:docPr id="16" name="Picture 16" descr="Four images of streets with decreasing amounts of li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7500" cy="1225550"/>
                    </a:xfrm>
                    <a:prstGeom prst="rect">
                      <a:avLst/>
                    </a:prstGeom>
                    <a:noFill/>
                    <a:ln>
                      <a:noFill/>
                    </a:ln>
                  </pic:spPr>
                </pic:pic>
              </a:graphicData>
            </a:graphic>
          </wp:inline>
        </w:drawing>
      </w:r>
    </w:p>
    <w:p w14:paraId="37FC8CF2" w14:textId="77777777" w:rsidR="00022915" w:rsidRPr="002C6803" w:rsidRDefault="00022915" w:rsidP="00022915">
      <w:pPr>
        <w:pStyle w:val="DWERSource"/>
      </w:pPr>
      <w:r>
        <w:rPr>
          <w:lang w:eastAsia="en-AU"/>
        </w:rPr>
        <w:t xml:space="preserve">Source: </w:t>
      </w:r>
      <w:r>
        <w:t>DEFRA</w:t>
      </w:r>
      <w:r>
        <w:rPr>
          <w:lang w:eastAsia="en-AU"/>
        </w:rPr>
        <w:t xml:space="preserve"> 2013</w:t>
      </w:r>
      <w:r w:rsidRPr="00907499">
        <w:rPr>
          <w:szCs w:val="18"/>
        </w:rPr>
        <w:t>.</w:t>
      </w:r>
    </w:p>
    <w:p w14:paraId="6EB7F867" w14:textId="77777777" w:rsidR="00022915" w:rsidRDefault="00022915" w:rsidP="00022915">
      <w:r>
        <w:t>Cautions and issues remain:</w:t>
      </w:r>
    </w:p>
    <w:p w14:paraId="22C1751D" w14:textId="77777777" w:rsidR="00022915" w:rsidRPr="004B6516" w:rsidRDefault="00022915" w:rsidP="00022915">
      <w:pPr>
        <w:pStyle w:val="Bullets1stindent"/>
        <w:spacing w:line="240" w:lineRule="auto"/>
      </w:pPr>
      <w:r>
        <w:t xml:space="preserve">The study is not sufficiently disaggregated to the level of being able to indicate the extent (if </w:t>
      </w:r>
      <w:r w:rsidRPr="004B6516">
        <w:t>any) to which the estimated</w:t>
      </w:r>
      <w:r>
        <w:t xml:space="preserve"> willingness to pay</w:t>
      </w:r>
      <w:r w:rsidRPr="004B6516">
        <w:t xml:space="preserve"> values include market benefits (</w:t>
      </w:r>
      <w:r>
        <w:t>such as the</w:t>
      </w:r>
      <w:r w:rsidRPr="004B6516">
        <w:t xml:space="preserve"> value of recyclates) and litter reductions and other non-market benefits estimated in the </w:t>
      </w:r>
      <w:r>
        <w:t>cost-benefit analysis</w:t>
      </w:r>
      <w:r w:rsidRPr="004B6516">
        <w:t>.</w:t>
      </w:r>
      <w:r>
        <w:t xml:space="preserve"> </w:t>
      </w:r>
    </w:p>
    <w:p w14:paraId="72B6B060" w14:textId="77777777" w:rsidR="00022915" w:rsidRDefault="00022915" w:rsidP="00022915">
      <w:pPr>
        <w:pStyle w:val="Bullets1stindent"/>
        <w:spacing w:line="240" w:lineRule="auto"/>
      </w:pPr>
      <w:r>
        <w:t>T</w:t>
      </w:r>
      <w:r w:rsidRPr="00C02A82">
        <w:t xml:space="preserve">he values transferred in the </w:t>
      </w:r>
      <w:r>
        <w:t>United Kingdom</w:t>
      </w:r>
      <w:r w:rsidRPr="00C02A82">
        <w:t xml:space="preserve"> study were not estimated with reference to the specific environmental changes being examined in the </w:t>
      </w:r>
      <w:r>
        <w:t xml:space="preserve">Western Australian </w:t>
      </w:r>
      <w:r w:rsidRPr="00C02A82">
        <w:t xml:space="preserve">study. As a result, there remains uncertainty about the </w:t>
      </w:r>
      <w:r>
        <w:t xml:space="preserve">Western Australian </w:t>
      </w:r>
      <w:r w:rsidRPr="00C02A82">
        <w:t xml:space="preserve">community’s </w:t>
      </w:r>
      <w:r>
        <w:t>act</w:t>
      </w:r>
      <w:r w:rsidRPr="00C02A82">
        <w:t>ual</w:t>
      </w:r>
      <w:r>
        <w:t xml:space="preserve"> willingness to pay</w:t>
      </w:r>
      <w:r w:rsidRPr="00C02A82">
        <w:t>. At best, benefit transfer can provide an indication of the order of magnitude of the community’s</w:t>
      </w:r>
      <w:r>
        <w:t xml:space="preserve"> willingness to pay</w:t>
      </w:r>
      <w:r w:rsidRPr="00C02A82">
        <w:t xml:space="preserve"> for environmental services.</w:t>
      </w:r>
    </w:p>
    <w:p w14:paraId="659940B8" w14:textId="77777777" w:rsidR="00022915" w:rsidRPr="004329E0" w:rsidRDefault="00022915" w:rsidP="00022915">
      <w:pPr>
        <w:pStyle w:val="Heading4"/>
      </w:pPr>
      <w:r w:rsidRPr="004329E0">
        <w:t>Willingness to pay to increase recycling</w:t>
      </w:r>
    </w:p>
    <w:p w14:paraId="4354B7C6" w14:textId="77777777" w:rsidR="00022915" w:rsidRDefault="00022915" w:rsidP="00022915">
      <w:r w:rsidRPr="002B4C05">
        <w:t>Households and the broader community place a value on recycling that includes a range of market and non-market values. Market values have been fully captured in the main analysis</w:t>
      </w:r>
      <w:r>
        <w:t>, but n</w:t>
      </w:r>
      <w:r w:rsidRPr="002B4C05">
        <w:t xml:space="preserve">on-market values only partly so. </w:t>
      </w:r>
    </w:p>
    <w:p w14:paraId="241AF41C" w14:textId="77777777" w:rsidR="00022915" w:rsidRPr="002B4C05" w:rsidRDefault="00022915" w:rsidP="00022915">
      <w:r w:rsidRPr="002B4C05">
        <w:t>Potential non-market values of recycling include:</w:t>
      </w:r>
    </w:p>
    <w:p w14:paraId="39138D18" w14:textId="77777777" w:rsidR="00022915" w:rsidRPr="002B4C05" w:rsidRDefault="00022915" w:rsidP="00022915">
      <w:pPr>
        <w:pStyle w:val="Bullets1stindent"/>
      </w:pPr>
      <w:r w:rsidRPr="002B4C05">
        <w:t>avoided environmental and social externalities associated with the operation of landfills (</w:t>
      </w:r>
      <w:r>
        <w:t>such as</w:t>
      </w:r>
      <w:r w:rsidRPr="002B4C05">
        <w:t xml:space="preserve"> pollution and noise)</w:t>
      </w:r>
      <w:r>
        <w:t>;</w:t>
      </w:r>
    </w:p>
    <w:p w14:paraId="3E18B107" w14:textId="77777777" w:rsidR="00022915" w:rsidRPr="002B4C05" w:rsidRDefault="00022915" w:rsidP="00022915">
      <w:pPr>
        <w:pStyle w:val="Bullets1stindent"/>
      </w:pPr>
      <w:r w:rsidRPr="002B4C05">
        <w:t>avoided environmental externalities due to reduced resource depletion</w:t>
      </w:r>
      <w:r>
        <w:t>; and</w:t>
      </w:r>
    </w:p>
    <w:p w14:paraId="544C352E" w14:textId="77777777" w:rsidR="00022915" w:rsidRPr="002B4C05" w:rsidRDefault="00022915" w:rsidP="00022915">
      <w:pPr>
        <w:pStyle w:val="Bullets1stindent"/>
      </w:pPr>
      <w:r w:rsidRPr="002B4C05">
        <w:t xml:space="preserve">a sense of ‘civic duty’ that accompanies recycling and waste avoidance. </w:t>
      </w:r>
    </w:p>
    <w:p w14:paraId="0AA1052C" w14:textId="77777777" w:rsidR="00022915" w:rsidRDefault="00022915" w:rsidP="00022915">
      <w:r>
        <w:t>A review of the literature identified willingness to pay for kerbside recycling in the Brisbane region as being preferred for the application of benefit transfer to packaging waste recycling</w:t>
      </w:r>
      <w:r w:rsidRPr="00135EA6">
        <w:t xml:space="preserve"> </w:t>
      </w:r>
      <w:r>
        <w:t>(</w:t>
      </w:r>
      <w:r w:rsidRPr="00135EA6">
        <w:t xml:space="preserve">Gillespie </w:t>
      </w:r>
      <w:r>
        <w:t>and</w:t>
      </w:r>
      <w:r w:rsidRPr="00135EA6">
        <w:t xml:space="preserve"> Bennett 20</w:t>
      </w:r>
      <w:r>
        <w:t>1</w:t>
      </w:r>
      <w:r w:rsidRPr="00135EA6">
        <w:t>1)</w:t>
      </w:r>
      <w:r>
        <w:t>.</w:t>
      </w:r>
    </w:p>
    <w:p w14:paraId="5E502C32" w14:textId="77777777" w:rsidR="00022915" w:rsidRDefault="00022915" w:rsidP="00022915">
      <w:r>
        <w:t>Gillespie and Bennett’s</w:t>
      </w:r>
      <w:r w:rsidRPr="002B4C05">
        <w:t xml:space="preserve"> </w:t>
      </w:r>
      <w:r>
        <w:t>review</w:t>
      </w:r>
      <w:r w:rsidRPr="002B4C05">
        <w:t xml:space="preserve"> investigated respondents’</w:t>
      </w:r>
      <w:r>
        <w:t xml:space="preserve"> willingness to pay</w:t>
      </w:r>
      <w:r w:rsidRPr="002B4C05">
        <w:t xml:space="preserve"> for an existing household kerbside recycling scheme in the Brisbane </w:t>
      </w:r>
      <w:r>
        <w:t>r</w:t>
      </w:r>
      <w:r w:rsidRPr="002B4C05">
        <w:t>egion and the amount of waste that goes to landfill or is recycled. Materials recycled are paper, cardboard, glass, plastic and aluminium.</w:t>
      </w:r>
    </w:p>
    <w:p w14:paraId="44BC5161" w14:textId="77777777" w:rsidR="00022915" w:rsidRDefault="00022915" w:rsidP="00022915">
      <w:r w:rsidRPr="0072652F">
        <w:t xml:space="preserve">Using benefit transfer, </w:t>
      </w:r>
      <w:r>
        <w:t xml:space="preserve">Marsden Jacob Associates </w:t>
      </w:r>
      <w:r w:rsidRPr="0072652F">
        <w:t xml:space="preserve">estimate </w:t>
      </w:r>
      <w:r>
        <w:t>that willingness to pay</w:t>
      </w:r>
      <w:r w:rsidRPr="0072652F">
        <w:t xml:space="preserve"> for a 1% increase in the level of packaging waste recycling in </w:t>
      </w:r>
      <w:r>
        <w:t xml:space="preserve">Western Australia </w:t>
      </w:r>
      <w:r w:rsidRPr="0072652F">
        <w:t xml:space="preserve">by </w:t>
      </w:r>
      <w:r>
        <w:t xml:space="preserve">Western Australian </w:t>
      </w:r>
      <w:r w:rsidRPr="0072652F">
        <w:t xml:space="preserve">households in 2017 is in the range of $1.31 million </w:t>
      </w:r>
      <w:r>
        <w:t>to</w:t>
      </w:r>
      <w:r w:rsidRPr="0072652F">
        <w:t xml:space="preserve"> $1.99 million per annum ($2017), and $13.1 million </w:t>
      </w:r>
      <w:r>
        <w:t>to</w:t>
      </w:r>
      <w:r w:rsidRPr="0072652F">
        <w:t xml:space="preserve"> $19.9</w:t>
      </w:r>
      <w:r>
        <w:t> </w:t>
      </w:r>
      <w:r w:rsidRPr="0072652F">
        <w:t>million for a 10% increase. This equates to between $575 and $876 per household per tonne per annum (</w:t>
      </w:r>
      <w:r w:rsidRPr="0072652F">
        <w:fldChar w:fldCharType="begin"/>
      </w:r>
      <w:r w:rsidRPr="0072652F">
        <w:instrText xml:space="preserve"> REF _Ref499299899 \h  \* MERGEFORMAT </w:instrText>
      </w:r>
      <w:r w:rsidRPr="0072652F">
        <w:fldChar w:fldCharType="separate"/>
      </w:r>
      <w:r w:rsidRPr="0072652F">
        <w:t xml:space="preserve">Table </w:t>
      </w:r>
      <w:r>
        <w:rPr>
          <w:noProof/>
        </w:rPr>
        <w:t>21</w:t>
      </w:r>
      <w:r w:rsidRPr="0072652F">
        <w:fldChar w:fldCharType="end"/>
      </w:r>
      <w:r w:rsidRPr="0072652F">
        <w:t xml:space="preserve">). </w:t>
      </w:r>
    </w:p>
    <w:p w14:paraId="078AE091" w14:textId="77777777" w:rsidR="00022915" w:rsidRPr="0072652F" w:rsidRDefault="00022915" w:rsidP="00022915">
      <w:pPr>
        <w:pStyle w:val="Caption"/>
      </w:pPr>
      <w:bookmarkStart w:id="254" w:name="_Ref499299899"/>
      <w:bookmarkStart w:id="255" w:name="_Toc500154290"/>
      <w:bookmarkStart w:id="256" w:name="_Toc506552699"/>
      <w:bookmarkStart w:id="257" w:name="_Toc10031230"/>
      <w:r w:rsidRPr="0072652F">
        <w:t xml:space="preserve">Table </w:t>
      </w:r>
      <w:r w:rsidR="00CF34D3">
        <w:rPr>
          <w:noProof/>
        </w:rPr>
        <w:fldChar w:fldCharType="begin"/>
      </w:r>
      <w:r w:rsidR="00CF34D3">
        <w:rPr>
          <w:noProof/>
        </w:rPr>
        <w:instrText xml:space="preserve"> SEQ Table \* ARABIC </w:instrText>
      </w:r>
      <w:r w:rsidR="00CF34D3">
        <w:rPr>
          <w:noProof/>
        </w:rPr>
        <w:fldChar w:fldCharType="separate"/>
      </w:r>
      <w:r>
        <w:rPr>
          <w:noProof/>
        </w:rPr>
        <w:t>21</w:t>
      </w:r>
      <w:r w:rsidR="00CF34D3">
        <w:rPr>
          <w:noProof/>
        </w:rPr>
        <w:fldChar w:fldCharType="end"/>
      </w:r>
      <w:bookmarkEnd w:id="254"/>
      <w:r w:rsidRPr="0072652F">
        <w:t>:</w:t>
      </w:r>
      <w:r>
        <w:t xml:space="preserve"> </w:t>
      </w:r>
      <w:r>
        <w:tab/>
        <w:t>Willingness to pay</w:t>
      </w:r>
      <w:r w:rsidRPr="0072652F">
        <w:t xml:space="preserve"> to increase waste packaging recycling, </w:t>
      </w:r>
      <w:r>
        <w:t xml:space="preserve">Western Australian </w:t>
      </w:r>
      <w:r w:rsidRPr="0072652F">
        <w:t>households ($2017)</w:t>
      </w:r>
      <w:bookmarkEnd w:id="255"/>
      <w:bookmarkEnd w:id="256"/>
      <w:bookmarkEnd w:id="257"/>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illingness to pay to increase waste packaging recycling, Western Australian households ($2017"/>
        <w:tblDescription w:val="Table summarising the data on consumers willingness to pay to increase waste packaging recycling in Western Australian using 2017 values."/>
      </w:tblPr>
      <w:tblGrid>
        <w:gridCol w:w="4377"/>
        <w:gridCol w:w="1522"/>
        <w:gridCol w:w="1524"/>
        <w:gridCol w:w="1522"/>
      </w:tblGrid>
      <w:tr w:rsidR="00022915" w:rsidRPr="006A5DB5" w14:paraId="716D30D3" w14:textId="77777777" w:rsidTr="00C53AB1">
        <w:trPr>
          <w:trHeight w:val="290"/>
          <w:tblHeader/>
        </w:trPr>
        <w:tc>
          <w:tcPr>
            <w:tcW w:w="2446" w:type="pct"/>
            <w:shd w:val="clear" w:color="auto" w:fill="D9D9D9" w:themeFill="background1" w:themeFillShade="D9"/>
            <w:noWrap/>
            <w:hideMark/>
          </w:tcPr>
          <w:p w14:paraId="75D5C47C" w14:textId="77777777" w:rsidR="00022915" w:rsidRPr="00DA7A26" w:rsidRDefault="00022915" w:rsidP="00C53AB1">
            <w:pPr>
              <w:pStyle w:val="Tableheading0"/>
            </w:pPr>
            <w:r w:rsidRPr="00DA7A26">
              <w:t>Willingness to pay - kerbside recycling</w:t>
            </w:r>
          </w:p>
        </w:tc>
        <w:tc>
          <w:tcPr>
            <w:tcW w:w="851" w:type="pct"/>
            <w:shd w:val="clear" w:color="auto" w:fill="D9D9D9" w:themeFill="background1" w:themeFillShade="D9"/>
            <w:noWrap/>
            <w:hideMark/>
          </w:tcPr>
          <w:p w14:paraId="24DFB086" w14:textId="77777777" w:rsidR="00022915" w:rsidRPr="00DA7A26" w:rsidRDefault="00022915" w:rsidP="00C53AB1">
            <w:pPr>
              <w:pStyle w:val="Tableheading0"/>
            </w:pPr>
            <w:r w:rsidRPr="00DA7A26">
              <w:t>Value of recycling</w:t>
            </w:r>
          </w:p>
        </w:tc>
        <w:tc>
          <w:tcPr>
            <w:tcW w:w="852" w:type="pct"/>
            <w:shd w:val="clear" w:color="auto" w:fill="D9D9D9" w:themeFill="background1" w:themeFillShade="D9"/>
            <w:noWrap/>
            <w:hideMark/>
          </w:tcPr>
          <w:p w14:paraId="3483D8AD" w14:textId="77777777" w:rsidR="00022915" w:rsidRPr="00DA7A26" w:rsidRDefault="00022915" w:rsidP="00C53AB1">
            <w:pPr>
              <w:pStyle w:val="Tableheading0"/>
            </w:pPr>
            <w:r w:rsidRPr="00DA7A26">
              <w:t>Lower 95% Confidence Interval</w:t>
            </w:r>
          </w:p>
        </w:tc>
        <w:tc>
          <w:tcPr>
            <w:tcW w:w="852" w:type="pct"/>
            <w:shd w:val="clear" w:color="auto" w:fill="D9D9D9" w:themeFill="background1" w:themeFillShade="D9"/>
            <w:noWrap/>
            <w:hideMark/>
          </w:tcPr>
          <w:p w14:paraId="411C3013" w14:textId="77777777" w:rsidR="00022915" w:rsidRPr="00DA7A26" w:rsidRDefault="00022915" w:rsidP="00C53AB1">
            <w:pPr>
              <w:pStyle w:val="Tableheading0"/>
            </w:pPr>
            <w:r w:rsidRPr="00DA7A26">
              <w:t>Upper 95% Confidence Interval</w:t>
            </w:r>
          </w:p>
        </w:tc>
      </w:tr>
      <w:tr w:rsidR="00022915" w:rsidRPr="006A5DB5" w14:paraId="11BE69B9" w14:textId="77777777" w:rsidTr="00C53AB1">
        <w:trPr>
          <w:trHeight w:val="290"/>
        </w:trPr>
        <w:tc>
          <w:tcPr>
            <w:tcW w:w="2446" w:type="pct"/>
            <w:shd w:val="clear" w:color="auto" w:fill="auto"/>
            <w:noWrap/>
            <w:hideMark/>
          </w:tcPr>
          <w:p w14:paraId="04F70C63" w14:textId="77777777" w:rsidR="00022915" w:rsidRPr="00566994" w:rsidRDefault="00022915" w:rsidP="00C53AB1">
            <w:pPr>
              <w:pStyle w:val="Tabletext0"/>
              <w:widowControl w:val="0"/>
              <w:spacing w:before="60"/>
              <w:rPr>
                <w:rFonts w:cs="Arial"/>
                <w:szCs w:val="20"/>
              </w:rPr>
            </w:pPr>
            <w:r>
              <w:rPr>
                <w:rFonts w:cs="Arial"/>
                <w:szCs w:val="20"/>
              </w:rPr>
              <w:t>One per cent</w:t>
            </w:r>
            <w:r w:rsidRPr="00566994">
              <w:rPr>
                <w:rFonts w:cs="Arial"/>
                <w:szCs w:val="20"/>
              </w:rPr>
              <w:t xml:space="preserve"> change in waste packaging</w:t>
            </w:r>
            <w:r>
              <w:rPr>
                <w:rFonts w:cs="Arial"/>
                <w:szCs w:val="20"/>
              </w:rPr>
              <w:t xml:space="preserve"> </w:t>
            </w:r>
            <w:r w:rsidRPr="00566994">
              <w:rPr>
                <w:rFonts w:cs="Arial"/>
                <w:szCs w:val="20"/>
              </w:rPr>
              <w:t>($</w:t>
            </w:r>
            <w:r>
              <w:rPr>
                <w:rFonts w:cs="Arial"/>
                <w:szCs w:val="20"/>
              </w:rPr>
              <w:t>/</w:t>
            </w:r>
            <w:r w:rsidRPr="00566994">
              <w:rPr>
                <w:rFonts w:cs="Arial"/>
                <w:szCs w:val="20"/>
              </w:rPr>
              <w:t>year)</w:t>
            </w:r>
          </w:p>
        </w:tc>
        <w:tc>
          <w:tcPr>
            <w:tcW w:w="851" w:type="pct"/>
            <w:shd w:val="clear" w:color="auto" w:fill="auto"/>
            <w:noWrap/>
            <w:vAlign w:val="center"/>
            <w:hideMark/>
          </w:tcPr>
          <w:p w14:paraId="14A2DDA7" w14:textId="77777777" w:rsidR="00022915" w:rsidRPr="00566994" w:rsidRDefault="00022915" w:rsidP="00C53AB1">
            <w:pPr>
              <w:pStyle w:val="Tablenumber"/>
              <w:tabs>
                <w:tab w:val="decimal" w:pos="1003"/>
              </w:tabs>
              <w:jc w:val="both"/>
              <w:rPr>
                <w:rFonts w:cs="Arial"/>
                <w:szCs w:val="20"/>
              </w:rPr>
            </w:pPr>
            <w:r w:rsidRPr="00566994">
              <w:rPr>
                <w:rFonts w:cs="Arial"/>
              </w:rPr>
              <w:t>$1,632,000</w:t>
            </w:r>
          </w:p>
        </w:tc>
        <w:tc>
          <w:tcPr>
            <w:tcW w:w="852" w:type="pct"/>
            <w:shd w:val="clear" w:color="auto" w:fill="auto"/>
            <w:noWrap/>
            <w:vAlign w:val="center"/>
            <w:hideMark/>
          </w:tcPr>
          <w:p w14:paraId="471DFF2C" w14:textId="77777777" w:rsidR="00022915" w:rsidRPr="00566994" w:rsidRDefault="00022915" w:rsidP="00C53AB1">
            <w:pPr>
              <w:pStyle w:val="Tablenumber"/>
              <w:tabs>
                <w:tab w:val="decimal" w:pos="1003"/>
              </w:tabs>
              <w:jc w:val="both"/>
              <w:rPr>
                <w:rFonts w:cs="Arial"/>
                <w:szCs w:val="20"/>
              </w:rPr>
            </w:pPr>
            <w:r w:rsidRPr="00566994">
              <w:rPr>
                <w:rFonts w:cs="Arial"/>
              </w:rPr>
              <w:t>$1,308,000</w:t>
            </w:r>
          </w:p>
        </w:tc>
        <w:tc>
          <w:tcPr>
            <w:tcW w:w="852" w:type="pct"/>
            <w:shd w:val="clear" w:color="auto" w:fill="auto"/>
            <w:noWrap/>
            <w:vAlign w:val="center"/>
            <w:hideMark/>
          </w:tcPr>
          <w:p w14:paraId="64D31AF7" w14:textId="77777777" w:rsidR="00022915" w:rsidRPr="00566994" w:rsidRDefault="00022915" w:rsidP="00C53AB1">
            <w:pPr>
              <w:pStyle w:val="Tablenumber"/>
              <w:tabs>
                <w:tab w:val="decimal" w:pos="1003"/>
              </w:tabs>
              <w:jc w:val="both"/>
              <w:rPr>
                <w:rFonts w:cs="Arial"/>
                <w:szCs w:val="20"/>
              </w:rPr>
            </w:pPr>
            <w:r w:rsidRPr="00566994">
              <w:rPr>
                <w:rFonts w:cs="Arial"/>
              </w:rPr>
              <w:t>$1,993,000</w:t>
            </w:r>
          </w:p>
        </w:tc>
      </w:tr>
      <w:tr w:rsidR="00022915" w:rsidRPr="006A5DB5" w14:paraId="67A00D84" w14:textId="77777777" w:rsidTr="00C53AB1">
        <w:trPr>
          <w:trHeight w:val="290"/>
        </w:trPr>
        <w:tc>
          <w:tcPr>
            <w:tcW w:w="2446" w:type="pct"/>
            <w:shd w:val="clear" w:color="auto" w:fill="auto"/>
            <w:noWrap/>
            <w:hideMark/>
          </w:tcPr>
          <w:p w14:paraId="50EA9893" w14:textId="77777777" w:rsidR="00022915" w:rsidRPr="00566994" w:rsidRDefault="00022915" w:rsidP="00C53AB1">
            <w:pPr>
              <w:pStyle w:val="Tabletext0"/>
              <w:widowControl w:val="0"/>
              <w:spacing w:before="60"/>
              <w:rPr>
                <w:rFonts w:cs="Arial"/>
                <w:szCs w:val="20"/>
              </w:rPr>
            </w:pPr>
            <w:r>
              <w:rPr>
                <w:rFonts w:cs="Arial"/>
                <w:szCs w:val="20"/>
              </w:rPr>
              <w:t xml:space="preserve">Ten per cent </w:t>
            </w:r>
            <w:r w:rsidRPr="00566994">
              <w:rPr>
                <w:rFonts w:cs="Arial"/>
                <w:szCs w:val="20"/>
              </w:rPr>
              <w:t>change in waste packaging ($</w:t>
            </w:r>
            <w:r>
              <w:rPr>
                <w:rFonts w:cs="Arial"/>
                <w:szCs w:val="20"/>
              </w:rPr>
              <w:t>/</w:t>
            </w:r>
            <w:r w:rsidRPr="00566994">
              <w:rPr>
                <w:rFonts w:cs="Arial"/>
                <w:szCs w:val="20"/>
              </w:rPr>
              <w:t>year)</w:t>
            </w:r>
          </w:p>
        </w:tc>
        <w:tc>
          <w:tcPr>
            <w:tcW w:w="851" w:type="pct"/>
            <w:shd w:val="clear" w:color="auto" w:fill="auto"/>
            <w:noWrap/>
            <w:vAlign w:val="center"/>
            <w:hideMark/>
          </w:tcPr>
          <w:p w14:paraId="52EC2C59" w14:textId="77777777" w:rsidR="00022915" w:rsidRPr="00566994" w:rsidRDefault="00022915" w:rsidP="00C53AB1">
            <w:pPr>
              <w:pStyle w:val="Tablenumber"/>
              <w:tabs>
                <w:tab w:val="decimal" w:pos="1003"/>
              </w:tabs>
              <w:jc w:val="both"/>
              <w:rPr>
                <w:rFonts w:cs="Arial"/>
                <w:szCs w:val="20"/>
              </w:rPr>
            </w:pPr>
            <w:r w:rsidRPr="00566994">
              <w:rPr>
                <w:rFonts w:cs="Arial"/>
              </w:rPr>
              <w:t>$16,316,000</w:t>
            </w:r>
          </w:p>
        </w:tc>
        <w:tc>
          <w:tcPr>
            <w:tcW w:w="852" w:type="pct"/>
            <w:shd w:val="clear" w:color="auto" w:fill="auto"/>
            <w:noWrap/>
            <w:vAlign w:val="center"/>
            <w:hideMark/>
          </w:tcPr>
          <w:p w14:paraId="496E3038" w14:textId="77777777" w:rsidR="00022915" w:rsidRPr="00566994" w:rsidRDefault="00022915" w:rsidP="00C53AB1">
            <w:pPr>
              <w:pStyle w:val="Tablenumber"/>
              <w:tabs>
                <w:tab w:val="decimal" w:pos="1003"/>
              </w:tabs>
              <w:jc w:val="both"/>
              <w:rPr>
                <w:rFonts w:cs="Arial"/>
                <w:szCs w:val="20"/>
              </w:rPr>
            </w:pPr>
            <w:r w:rsidRPr="00566994">
              <w:rPr>
                <w:rFonts w:cs="Arial"/>
              </w:rPr>
              <w:t>$13,078,000</w:t>
            </w:r>
          </w:p>
        </w:tc>
        <w:tc>
          <w:tcPr>
            <w:tcW w:w="852" w:type="pct"/>
            <w:shd w:val="clear" w:color="auto" w:fill="auto"/>
            <w:noWrap/>
            <w:vAlign w:val="center"/>
            <w:hideMark/>
          </w:tcPr>
          <w:p w14:paraId="233C9EAD" w14:textId="77777777" w:rsidR="00022915" w:rsidRPr="00566994" w:rsidRDefault="00022915" w:rsidP="00C53AB1">
            <w:pPr>
              <w:pStyle w:val="Tablenumber"/>
              <w:tabs>
                <w:tab w:val="decimal" w:pos="1003"/>
              </w:tabs>
              <w:jc w:val="both"/>
              <w:rPr>
                <w:rFonts w:cs="Arial"/>
                <w:szCs w:val="20"/>
              </w:rPr>
            </w:pPr>
            <w:r w:rsidRPr="00566994">
              <w:rPr>
                <w:rFonts w:cs="Arial"/>
              </w:rPr>
              <w:t>$19,928,000</w:t>
            </w:r>
          </w:p>
        </w:tc>
      </w:tr>
      <w:tr w:rsidR="00022915" w:rsidRPr="006A5DB5" w14:paraId="5A5BF726" w14:textId="77777777" w:rsidTr="00C53AB1">
        <w:trPr>
          <w:trHeight w:val="290"/>
        </w:trPr>
        <w:tc>
          <w:tcPr>
            <w:tcW w:w="2446" w:type="pct"/>
            <w:shd w:val="clear" w:color="auto" w:fill="auto"/>
            <w:noWrap/>
          </w:tcPr>
          <w:p w14:paraId="0233636A" w14:textId="77777777" w:rsidR="00022915" w:rsidRPr="00566994" w:rsidRDefault="00022915" w:rsidP="00C53AB1">
            <w:pPr>
              <w:pStyle w:val="Tabletext0"/>
              <w:widowControl w:val="0"/>
              <w:spacing w:before="60"/>
              <w:rPr>
                <w:rFonts w:cs="Arial"/>
                <w:szCs w:val="20"/>
              </w:rPr>
            </w:pPr>
            <w:r>
              <w:rPr>
                <w:rFonts w:cs="Arial"/>
                <w:szCs w:val="20"/>
              </w:rPr>
              <w:t>$/</w:t>
            </w:r>
            <w:r w:rsidRPr="00566994">
              <w:rPr>
                <w:rFonts w:cs="Arial"/>
                <w:szCs w:val="20"/>
              </w:rPr>
              <w:t>household per year)</w:t>
            </w:r>
          </w:p>
        </w:tc>
        <w:tc>
          <w:tcPr>
            <w:tcW w:w="851" w:type="pct"/>
            <w:shd w:val="clear" w:color="auto" w:fill="auto"/>
            <w:noWrap/>
            <w:vAlign w:val="center"/>
          </w:tcPr>
          <w:p w14:paraId="0879808D" w14:textId="77777777" w:rsidR="00022915" w:rsidRPr="00566994" w:rsidRDefault="00022915" w:rsidP="00C53AB1">
            <w:pPr>
              <w:pStyle w:val="Tablenumber"/>
              <w:tabs>
                <w:tab w:val="decimal" w:pos="1003"/>
              </w:tabs>
              <w:jc w:val="both"/>
              <w:rPr>
                <w:rFonts w:cs="Arial"/>
              </w:rPr>
            </w:pPr>
            <w:r w:rsidRPr="00566994">
              <w:rPr>
                <w:rFonts w:cs="Arial"/>
              </w:rPr>
              <w:t>$152</w:t>
            </w:r>
          </w:p>
        </w:tc>
        <w:tc>
          <w:tcPr>
            <w:tcW w:w="852" w:type="pct"/>
            <w:shd w:val="clear" w:color="auto" w:fill="auto"/>
            <w:noWrap/>
            <w:vAlign w:val="center"/>
          </w:tcPr>
          <w:p w14:paraId="384546B1" w14:textId="77777777" w:rsidR="00022915" w:rsidRPr="00566994" w:rsidRDefault="00022915" w:rsidP="00C53AB1">
            <w:pPr>
              <w:pStyle w:val="Tablenumber"/>
              <w:tabs>
                <w:tab w:val="decimal" w:pos="1003"/>
              </w:tabs>
              <w:jc w:val="both"/>
              <w:rPr>
                <w:rFonts w:cs="Arial"/>
              </w:rPr>
            </w:pPr>
            <w:r w:rsidRPr="00566994">
              <w:rPr>
                <w:rFonts w:cs="Arial"/>
              </w:rPr>
              <w:t>$122</w:t>
            </w:r>
          </w:p>
        </w:tc>
        <w:tc>
          <w:tcPr>
            <w:tcW w:w="852" w:type="pct"/>
            <w:shd w:val="clear" w:color="auto" w:fill="auto"/>
            <w:noWrap/>
            <w:vAlign w:val="center"/>
          </w:tcPr>
          <w:p w14:paraId="54B5B7E0" w14:textId="77777777" w:rsidR="00022915" w:rsidRPr="00566994" w:rsidRDefault="00022915" w:rsidP="00C53AB1">
            <w:pPr>
              <w:pStyle w:val="Tablenumber"/>
              <w:tabs>
                <w:tab w:val="decimal" w:pos="1003"/>
              </w:tabs>
              <w:jc w:val="both"/>
              <w:rPr>
                <w:rFonts w:cs="Arial"/>
              </w:rPr>
            </w:pPr>
            <w:r w:rsidRPr="00566994">
              <w:rPr>
                <w:rFonts w:cs="Arial"/>
              </w:rPr>
              <w:t>$186</w:t>
            </w:r>
          </w:p>
        </w:tc>
      </w:tr>
      <w:tr w:rsidR="00022915" w:rsidRPr="006A5DB5" w14:paraId="5C298AC7" w14:textId="77777777" w:rsidTr="00C53AB1">
        <w:trPr>
          <w:trHeight w:val="290"/>
        </w:trPr>
        <w:tc>
          <w:tcPr>
            <w:tcW w:w="2446" w:type="pct"/>
            <w:shd w:val="clear" w:color="auto" w:fill="auto"/>
            <w:noWrap/>
          </w:tcPr>
          <w:p w14:paraId="1525406D" w14:textId="77777777" w:rsidR="00022915" w:rsidRPr="00566994" w:rsidRDefault="00022915" w:rsidP="00C53AB1">
            <w:pPr>
              <w:pStyle w:val="Tabletext0"/>
              <w:widowControl w:val="0"/>
              <w:spacing w:before="60"/>
              <w:rPr>
                <w:rFonts w:cs="Arial"/>
                <w:szCs w:val="20"/>
              </w:rPr>
            </w:pPr>
            <w:r w:rsidRPr="00566994">
              <w:rPr>
                <w:rFonts w:cs="Arial"/>
                <w:szCs w:val="20"/>
              </w:rPr>
              <w:t>$/tonne recycled)</w:t>
            </w:r>
          </w:p>
        </w:tc>
        <w:tc>
          <w:tcPr>
            <w:tcW w:w="851" w:type="pct"/>
            <w:shd w:val="clear" w:color="auto" w:fill="auto"/>
            <w:noWrap/>
            <w:vAlign w:val="center"/>
          </w:tcPr>
          <w:p w14:paraId="51256459" w14:textId="77777777" w:rsidR="00022915" w:rsidRPr="00566994" w:rsidRDefault="00022915" w:rsidP="00C53AB1">
            <w:pPr>
              <w:pStyle w:val="Tablenumber"/>
              <w:tabs>
                <w:tab w:val="decimal" w:pos="1003"/>
              </w:tabs>
              <w:jc w:val="both"/>
              <w:rPr>
                <w:rFonts w:cs="Arial"/>
              </w:rPr>
            </w:pPr>
            <w:r w:rsidRPr="00566994">
              <w:rPr>
                <w:rFonts w:cs="Arial"/>
              </w:rPr>
              <w:t>$717</w:t>
            </w:r>
          </w:p>
        </w:tc>
        <w:tc>
          <w:tcPr>
            <w:tcW w:w="852" w:type="pct"/>
            <w:shd w:val="clear" w:color="auto" w:fill="auto"/>
            <w:noWrap/>
            <w:vAlign w:val="center"/>
          </w:tcPr>
          <w:p w14:paraId="22878080" w14:textId="77777777" w:rsidR="00022915" w:rsidRPr="00566994" w:rsidRDefault="00022915" w:rsidP="00C53AB1">
            <w:pPr>
              <w:pStyle w:val="Tablenumber"/>
              <w:tabs>
                <w:tab w:val="decimal" w:pos="1003"/>
              </w:tabs>
              <w:jc w:val="both"/>
              <w:rPr>
                <w:rFonts w:cs="Arial"/>
              </w:rPr>
            </w:pPr>
            <w:r w:rsidRPr="00566994">
              <w:rPr>
                <w:rFonts w:cs="Arial"/>
              </w:rPr>
              <w:t>$575</w:t>
            </w:r>
          </w:p>
        </w:tc>
        <w:tc>
          <w:tcPr>
            <w:tcW w:w="852" w:type="pct"/>
            <w:shd w:val="clear" w:color="auto" w:fill="auto"/>
            <w:noWrap/>
            <w:vAlign w:val="center"/>
          </w:tcPr>
          <w:p w14:paraId="435983FE" w14:textId="77777777" w:rsidR="00022915" w:rsidRPr="00566994" w:rsidRDefault="00022915" w:rsidP="00C53AB1">
            <w:pPr>
              <w:pStyle w:val="Tablenumber"/>
              <w:tabs>
                <w:tab w:val="decimal" w:pos="1003"/>
              </w:tabs>
              <w:jc w:val="both"/>
              <w:rPr>
                <w:rFonts w:cs="Arial"/>
              </w:rPr>
            </w:pPr>
            <w:r w:rsidRPr="00566994">
              <w:rPr>
                <w:rFonts w:cs="Arial"/>
              </w:rPr>
              <w:t>$876</w:t>
            </w:r>
          </w:p>
        </w:tc>
      </w:tr>
    </w:tbl>
    <w:p w14:paraId="40BDD686" w14:textId="77777777" w:rsidR="00022915" w:rsidRPr="00DE4E79" w:rsidRDefault="00022915" w:rsidP="00022915">
      <w:r w:rsidRPr="0072652F">
        <w:t>The estimated</w:t>
      </w:r>
      <w:r>
        <w:t xml:space="preserve"> willingness to pay</w:t>
      </w:r>
      <w:r w:rsidRPr="0072652F">
        <w:t xml:space="preserve"> of $717 per tonne has been used in sensitivity tests in the </w:t>
      </w:r>
      <w:r>
        <w:t>cost-benefit analysis</w:t>
      </w:r>
      <w:r w:rsidRPr="0072652F">
        <w:t>. Because this value overlaps with</w:t>
      </w:r>
      <w:r>
        <w:t xml:space="preserve"> the willingness to pay </w:t>
      </w:r>
      <w:r w:rsidRPr="0072652F">
        <w:t>to avoid litter, the two</w:t>
      </w:r>
      <w:r>
        <w:t xml:space="preserve"> willingness to pay</w:t>
      </w:r>
      <w:r w:rsidRPr="0072652F">
        <w:t xml:space="preserve"> values have not</w:t>
      </w:r>
      <w:r w:rsidRPr="00DE4E79">
        <w:t xml:space="preserve"> been used at the same time</w:t>
      </w:r>
      <w:r>
        <w:t>,</w:t>
      </w:r>
      <w:r w:rsidRPr="00DE4E79">
        <w:t xml:space="preserve"> as th</w:t>
      </w:r>
      <w:r>
        <w:t>at</w:t>
      </w:r>
      <w:r w:rsidRPr="00DE4E79">
        <w:t xml:space="preserve"> would result in double counting. We have therefore excluded</w:t>
      </w:r>
      <w:r>
        <w:t xml:space="preserve"> the willingness to pay </w:t>
      </w:r>
      <w:r w:rsidRPr="00DE4E79">
        <w:t>to avoid litter when</w:t>
      </w:r>
      <w:r>
        <w:t xml:space="preserve"> the willingness to pay </w:t>
      </w:r>
      <w:r w:rsidRPr="00DE4E79">
        <w:t>for increased recycling is used in sensitivity tests.</w:t>
      </w:r>
    </w:p>
    <w:p w14:paraId="4DDBB18A" w14:textId="77777777" w:rsidR="00022915" w:rsidRPr="00DE4E79" w:rsidRDefault="00022915" w:rsidP="00022915">
      <w:r w:rsidRPr="00DE4E79">
        <w:t xml:space="preserve">However, </w:t>
      </w:r>
      <w:r>
        <w:t xml:space="preserve">Marsden Jacob Associates </w:t>
      </w:r>
      <w:r w:rsidRPr="00DE4E79">
        <w:t>note that the value overlap between the two</w:t>
      </w:r>
      <w:r>
        <w:t xml:space="preserve"> willingness to pay</w:t>
      </w:r>
      <w:r w:rsidRPr="00DE4E79">
        <w:t xml:space="preserve"> measures is not absolute</w:t>
      </w:r>
      <w:r>
        <w:t>; therefore,</w:t>
      </w:r>
      <w:r w:rsidRPr="00DE4E79">
        <w:t xml:space="preserve"> the results of both sensitivity tests </w:t>
      </w:r>
      <w:r>
        <w:t>are somewhat</w:t>
      </w:r>
      <w:r w:rsidRPr="00DE4E79">
        <w:t xml:space="preserve"> conservat</w:t>
      </w:r>
      <w:r>
        <w:t>ive</w:t>
      </w:r>
      <w:r w:rsidRPr="00DE4E79">
        <w:t>.</w:t>
      </w:r>
    </w:p>
    <w:p w14:paraId="0036D354" w14:textId="77777777" w:rsidR="00022915" w:rsidRPr="00D67FDF" w:rsidRDefault="00022915" w:rsidP="00022915">
      <w:pPr>
        <w:pStyle w:val="Heading2nonumbering"/>
      </w:pPr>
      <w:bookmarkStart w:id="258" w:name="_Toc499821560"/>
      <w:bookmarkStart w:id="259" w:name="_Toc9375392"/>
      <w:r w:rsidRPr="00D67FDF">
        <w:t>Material flows analysis</w:t>
      </w:r>
      <w:bookmarkEnd w:id="258"/>
      <w:bookmarkEnd w:id="259"/>
    </w:p>
    <w:p w14:paraId="5255E8F9" w14:textId="77777777" w:rsidR="00022915" w:rsidRPr="001B0633" w:rsidRDefault="00022915" w:rsidP="00022915">
      <w:r w:rsidRPr="001B0633">
        <w:t xml:space="preserve">The </w:t>
      </w:r>
      <w:r>
        <w:t>cost-benefit analysis</w:t>
      </w:r>
      <w:r w:rsidRPr="001B0633">
        <w:t xml:space="preserve"> presented in the </w:t>
      </w:r>
      <w:r>
        <w:t>Decision</w:t>
      </w:r>
      <w:r w:rsidRPr="001B0633">
        <w:t xml:space="preserve"> RIS considers both the economic </w:t>
      </w:r>
      <w:r>
        <w:t>impacts</w:t>
      </w:r>
      <w:r w:rsidRPr="001B0633">
        <w:t xml:space="preserve"> (costs and benefits) </w:t>
      </w:r>
      <w:r>
        <w:t>and the</w:t>
      </w:r>
      <w:r w:rsidRPr="001B0633">
        <w:t xml:space="preserve"> relevant subset of financial (distributional) </w:t>
      </w:r>
      <w:r>
        <w:t>impacts</w:t>
      </w:r>
      <w:r w:rsidRPr="001B0633">
        <w:t>.</w:t>
      </w:r>
      <w:r>
        <w:t xml:space="preserve"> </w:t>
      </w:r>
      <w:r w:rsidRPr="001B0633">
        <w:t>This approach reflects the f</w:t>
      </w:r>
      <w:r>
        <w:t>act</w:t>
      </w:r>
      <w:r w:rsidRPr="001B0633">
        <w:t xml:space="preserve"> that all costs and all market benefits associated with options will have a financial </w:t>
      </w:r>
      <w:r>
        <w:t>impact</w:t>
      </w:r>
      <w:r w:rsidRPr="001B0633">
        <w:t xml:space="preserve"> on one or more stakeholder group</w:t>
      </w:r>
      <w:r>
        <w:t>s</w:t>
      </w:r>
      <w:r w:rsidRPr="001B0633">
        <w:t xml:space="preserve">. However, financial transfers between stakeholder groups have been excluded from the </w:t>
      </w:r>
      <w:r>
        <w:t>cost-benefit analysis</w:t>
      </w:r>
      <w:r w:rsidRPr="001B0633">
        <w:t xml:space="preserve"> because they do not result in a net economic cost or benefit. </w:t>
      </w:r>
    </w:p>
    <w:p w14:paraId="44D77FC9" w14:textId="77777777" w:rsidR="00022915" w:rsidRDefault="00022915" w:rsidP="00022915">
      <w:r w:rsidRPr="001B0633">
        <w:t>To achieve this disaggregation required</w:t>
      </w:r>
      <w:r>
        <w:t xml:space="preserve"> the</w:t>
      </w:r>
      <w:r w:rsidRPr="001B0633">
        <w:t xml:space="preserve"> integration of the </w:t>
      </w:r>
      <w:r>
        <w:t>cost-benefit analysis</w:t>
      </w:r>
      <w:r w:rsidRPr="001B0633">
        <w:t xml:space="preserve"> model with a material flows analysis</w:t>
      </w:r>
      <w:r>
        <w:t>. Note</w:t>
      </w:r>
      <w:r w:rsidRPr="001B0633">
        <w:t xml:space="preserve"> that the physical flow of </w:t>
      </w:r>
      <w:r>
        <w:t>beverage container</w:t>
      </w:r>
      <w:r w:rsidRPr="001B0633">
        <w:t xml:space="preserve"> waste ultimately drives many (although not all) of the costs, benefits and distributional </w:t>
      </w:r>
      <w:r>
        <w:t>impacts</w:t>
      </w:r>
      <w:r w:rsidRPr="001B0633">
        <w:t xml:space="preserve"> of the options (</w:t>
      </w:r>
      <w:r>
        <w:fldChar w:fldCharType="begin"/>
      </w:r>
      <w:r>
        <w:instrText xml:space="preserve"> REF _Ref499295997 \h  \* MERGEFORMAT </w:instrText>
      </w:r>
      <w:r>
        <w:fldChar w:fldCharType="separate"/>
      </w:r>
      <w:r w:rsidRPr="006A5DB5">
        <w:t xml:space="preserve">Figure </w:t>
      </w:r>
      <w:r>
        <w:rPr>
          <w:noProof/>
        </w:rPr>
        <w:t>8</w:t>
      </w:r>
      <w:r>
        <w:fldChar w:fldCharType="end"/>
      </w:r>
      <w:r w:rsidRPr="001B0633">
        <w:t>).</w:t>
      </w:r>
    </w:p>
    <w:p w14:paraId="1A4E1664" w14:textId="77777777" w:rsidR="00022915" w:rsidRPr="006A5DB5" w:rsidRDefault="00022915" w:rsidP="00022915">
      <w:pPr>
        <w:pStyle w:val="Caption"/>
      </w:pPr>
      <w:bookmarkStart w:id="260" w:name="_Ref499295997"/>
      <w:bookmarkStart w:id="261" w:name="_Toc500154300"/>
      <w:bookmarkStart w:id="262" w:name="_Toc506554052"/>
      <w:bookmarkStart w:id="263" w:name="_Toc10031209"/>
      <w:r w:rsidRPr="006A5DB5">
        <w:t xml:space="preserve">Figure </w:t>
      </w:r>
      <w:r w:rsidRPr="00566994">
        <w:fldChar w:fldCharType="begin"/>
      </w:r>
      <w:r w:rsidRPr="006A5DB5">
        <w:instrText xml:space="preserve"> SEQ Figure \* ARABIC </w:instrText>
      </w:r>
      <w:r w:rsidRPr="00566994">
        <w:fldChar w:fldCharType="separate"/>
      </w:r>
      <w:r>
        <w:rPr>
          <w:noProof/>
        </w:rPr>
        <w:t>8</w:t>
      </w:r>
      <w:r w:rsidRPr="00566994">
        <w:fldChar w:fldCharType="end"/>
      </w:r>
      <w:bookmarkEnd w:id="260"/>
      <w:r w:rsidRPr="006A5DB5">
        <w:t>: Chain of ‘physical flows’ and associated costs and benefits</w:t>
      </w:r>
      <w:bookmarkEnd w:id="261"/>
      <w:bookmarkEnd w:id="262"/>
      <w:bookmarkEnd w:id="263"/>
    </w:p>
    <w:p w14:paraId="40BDC209" w14:textId="77777777" w:rsidR="00022915" w:rsidRDefault="00022915" w:rsidP="00022915">
      <w:pPr>
        <w:rPr>
          <w:noProof/>
        </w:rPr>
      </w:pPr>
      <w:r w:rsidRPr="00802F19">
        <w:rPr>
          <w:noProof/>
          <w:lang w:eastAsia="en-AU"/>
        </w:rPr>
        <w:drawing>
          <wp:inline distT="0" distB="0" distL="0" distR="0" wp14:anchorId="5614CED8" wp14:editId="775026BB">
            <wp:extent cx="6415873" cy="4200392"/>
            <wp:effectExtent l="0" t="0" r="4445" b="0"/>
            <wp:docPr id="17" name="Picture 17" descr="Flowchart for assessing costs and benef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wchart for assessing cost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23009" cy="4205064"/>
                    </a:xfrm>
                    <a:prstGeom prst="rect">
                      <a:avLst/>
                    </a:prstGeom>
                    <a:noFill/>
                    <a:ln>
                      <a:noFill/>
                    </a:ln>
                  </pic:spPr>
                </pic:pic>
              </a:graphicData>
            </a:graphic>
          </wp:inline>
        </w:drawing>
      </w:r>
    </w:p>
    <w:p w14:paraId="4AC9A697" w14:textId="77777777" w:rsidR="00022915" w:rsidRPr="00426980" w:rsidRDefault="00022915" w:rsidP="00022915">
      <w:pPr>
        <w:pStyle w:val="DWERSource"/>
      </w:pPr>
      <w:r w:rsidRPr="003D4EFC">
        <w:rPr>
          <w:noProof/>
          <w:lang w:eastAsia="en-AU"/>
        </w:rPr>
        <w:t>Source:</w:t>
      </w:r>
      <w:r>
        <w:rPr>
          <w:noProof/>
          <w:lang w:eastAsia="en-AU"/>
        </w:rPr>
        <w:tab/>
      </w:r>
      <w:r w:rsidRPr="003D4EFC">
        <w:t xml:space="preserve">Mutual Recognition Amendment (NSW Container Deposit Scheme) Regulations 2017, Explanatory </w:t>
      </w:r>
      <w:r w:rsidRPr="00112CEB">
        <w:t>statement</w:t>
      </w:r>
      <w:r w:rsidRPr="003D4EFC">
        <w:t>.</w:t>
      </w:r>
    </w:p>
    <w:p w14:paraId="3508C819" w14:textId="77777777" w:rsidR="00022915" w:rsidRDefault="00022915" w:rsidP="00022915">
      <w:r w:rsidRPr="001B0633">
        <w:t xml:space="preserve">Costs and benefits that have been assessed in the </w:t>
      </w:r>
      <w:r>
        <w:t>cost-benefit analysis</w:t>
      </w:r>
      <w:r w:rsidRPr="001B0633">
        <w:t xml:space="preserve"> are set out in </w:t>
      </w:r>
      <w:r>
        <w:fldChar w:fldCharType="begin"/>
      </w:r>
      <w:r>
        <w:instrText xml:space="preserve"> REF _Ref510641441 \h  \* MERGEFORMAT </w:instrText>
      </w:r>
      <w:r>
        <w:fldChar w:fldCharType="separate"/>
      </w:r>
      <w:r>
        <w:t xml:space="preserve">Table </w:t>
      </w:r>
      <w:r>
        <w:rPr>
          <w:noProof/>
        </w:rPr>
        <w:t>22</w:t>
      </w:r>
      <w:r>
        <w:fldChar w:fldCharType="end"/>
      </w:r>
      <w:r w:rsidRPr="001B0633">
        <w:t xml:space="preserve">. </w:t>
      </w:r>
      <w:r>
        <w:t>The c</w:t>
      </w:r>
      <w:r w:rsidRPr="001B0633">
        <w:t>ategorisation of costs and benefits is not rigid, and</w:t>
      </w:r>
      <w:r>
        <w:t xml:space="preserve"> </w:t>
      </w:r>
      <w:r w:rsidRPr="001B0633">
        <w:t xml:space="preserve">several the variables listed as costs </w:t>
      </w:r>
      <w:r>
        <w:t>are presented</w:t>
      </w:r>
      <w:r w:rsidRPr="001B0633">
        <w:t xml:space="preserve"> in the analysis as avoided costs (</w:t>
      </w:r>
      <w:r>
        <w:t xml:space="preserve">that is, </w:t>
      </w:r>
      <w:r w:rsidRPr="001B0633">
        <w:t xml:space="preserve">benefits) for at least some options. </w:t>
      </w:r>
    </w:p>
    <w:p w14:paraId="2CF1275F" w14:textId="77777777" w:rsidR="00022915" w:rsidRDefault="00022915" w:rsidP="00022915">
      <w:pPr>
        <w:pStyle w:val="Caption"/>
        <w:rPr>
          <w:highlight w:val="lightGray"/>
        </w:rPr>
      </w:pPr>
      <w:bookmarkStart w:id="264" w:name="_Ref510641441"/>
      <w:bookmarkStart w:id="265" w:name="_Ref510641411"/>
      <w:bookmarkStart w:id="266" w:name="_Toc10031231"/>
      <w:r>
        <w:t xml:space="preserve">Table </w:t>
      </w:r>
      <w:r w:rsidR="00CF34D3">
        <w:rPr>
          <w:noProof/>
        </w:rPr>
        <w:fldChar w:fldCharType="begin"/>
      </w:r>
      <w:r w:rsidR="00CF34D3">
        <w:rPr>
          <w:noProof/>
        </w:rPr>
        <w:instrText xml:space="preserve"> SEQ Table \* ARABIC </w:instrText>
      </w:r>
      <w:r w:rsidR="00CF34D3">
        <w:rPr>
          <w:noProof/>
        </w:rPr>
        <w:fldChar w:fldCharType="separate"/>
      </w:r>
      <w:r>
        <w:rPr>
          <w:noProof/>
        </w:rPr>
        <w:t>22</w:t>
      </w:r>
      <w:r w:rsidR="00CF34D3">
        <w:rPr>
          <w:noProof/>
        </w:rPr>
        <w:fldChar w:fldCharType="end"/>
      </w:r>
      <w:bookmarkEnd w:id="264"/>
      <w:r>
        <w:t>: Costs and benefits</w:t>
      </w:r>
      <w:bookmarkEnd w:id="265"/>
      <w:bookmarkEnd w:id="2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sts and benefits"/>
        <w:tblDescription w:val="Summary of costs and benefits"/>
      </w:tblPr>
      <w:tblGrid>
        <w:gridCol w:w="4509"/>
        <w:gridCol w:w="4510"/>
      </w:tblGrid>
      <w:tr w:rsidR="00022915" w:rsidRPr="00DA7A26" w14:paraId="5F790B11" w14:textId="77777777" w:rsidTr="00C53AB1">
        <w:trPr>
          <w:tblHeader/>
        </w:trPr>
        <w:tc>
          <w:tcPr>
            <w:tcW w:w="2500" w:type="pct"/>
            <w:shd w:val="clear" w:color="auto" w:fill="D9D9D9" w:themeFill="background1" w:themeFillShade="D9"/>
            <w:vAlign w:val="center"/>
          </w:tcPr>
          <w:p w14:paraId="3A803B82" w14:textId="77777777" w:rsidR="00022915" w:rsidRPr="00DA7A26" w:rsidRDefault="00022915" w:rsidP="00C53AB1">
            <w:pPr>
              <w:pStyle w:val="Tableheading0"/>
            </w:pPr>
            <w:r w:rsidRPr="00DA7A26">
              <w:t>Costs</w:t>
            </w:r>
          </w:p>
        </w:tc>
        <w:tc>
          <w:tcPr>
            <w:tcW w:w="2500" w:type="pct"/>
            <w:shd w:val="clear" w:color="auto" w:fill="D9D9D9" w:themeFill="background1" w:themeFillShade="D9"/>
            <w:vAlign w:val="center"/>
          </w:tcPr>
          <w:p w14:paraId="6477B574" w14:textId="77777777" w:rsidR="00022915" w:rsidRPr="00DA7A26" w:rsidRDefault="00022915" w:rsidP="00C53AB1">
            <w:pPr>
              <w:pStyle w:val="Tableheading0"/>
            </w:pPr>
            <w:r w:rsidRPr="00DA7A26">
              <w:t>Benefits</w:t>
            </w:r>
          </w:p>
        </w:tc>
      </w:tr>
      <w:tr w:rsidR="00022915" w:rsidRPr="006A5DB5" w14:paraId="2BA71CA2" w14:textId="77777777" w:rsidTr="00C53AB1">
        <w:trPr>
          <w:trHeight w:val="79"/>
        </w:trPr>
        <w:tc>
          <w:tcPr>
            <w:tcW w:w="2500" w:type="pct"/>
            <w:shd w:val="clear" w:color="auto" w:fill="auto"/>
          </w:tcPr>
          <w:p w14:paraId="41AA628B" w14:textId="77777777" w:rsidR="00022915" w:rsidRPr="00421D13" w:rsidRDefault="00022915" w:rsidP="00C53AB1">
            <w:pPr>
              <w:pStyle w:val="Tabletext0"/>
              <w:keepLines/>
              <w:widowControl w:val="0"/>
              <w:spacing w:before="60" w:after="20"/>
              <w:rPr>
                <w:rFonts w:cs="Arial"/>
                <w:szCs w:val="20"/>
              </w:rPr>
            </w:pPr>
            <w:r w:rsidRPr="00421D13">
              <w:rPr>
                <w:rFonts w:cs="Arial"/>
                <w:szCs w:val="20"/>
              </w:rPr>
              <w:t>Administration costs</w:t>
            </w:r>
          </w:p>
          <w:p w14:paraId="40934065" w14:textId="77777777" w:rsidR="00022915" w:rsidRPr="00DA7A26" w:rsidRDefault="00022915" w:rsidP="00C53AB1">
            <w:pPr>
              <w:pStyle w:val="Tablebullets1stindent"/>
            </w:pPr>
            <w:r w:rsidRPr="00DA7A26">
              <w:t>government regulation development, administration and enforcement</w:t>
            </w:r>
          </w:p>
          <w:p w14:paraId="6C1A2A9F" w14:textId="77777777" w:rsidR="00022915" w:rsidRPr="00DA7A26" w:rsidRDefault="00022915" w:rsidP="00C53AB1">
            <w:pPr>
              <w:pStyle w:val="Tablebullets1stindent"/>
            </w:pPr>
            <w:r w:rsidRPr="00DA7A26">
              <w:t>scheme coordination</w:t>
            </w:r>
          </w:p>
          <w:p w14:paraId="42E1FDFD" w14:textId="77777777" w:rsidR="00022915" w:rsidRPr="00421D13" w:rsidRDefault="00022915" w:rsidP="00C53AB1">
            <w:pPr>
              <w:pStyle w:val="Tabletext0"/>
              <w:keepLines/>
              <w:widowControl w:val="0"/>
              <w:spacing w:before="60" w:after="20"/>
              <w:rPr>
                <w:rFonts w:cs="Arial"/>
                <w:szCs w:val="20"/>
              </w:rPr>
            </w:pPr>
            <w:r w:rsidRPr="00421D13">
              <w:rPr>
                <w:rFonts w:cs="Arial"/>
                <w:szCs w:val="20"/>
              </w:rPr>
              <w:t>CDS infrastructure and operating costs</w:t>
            </w:r>
          </w:p>
          <w:p w14:paraId="72D99FDC" w14:textId="77777777" w:rsidR="00022915" w:rsidRPr="00DA7A26" w:rsidRDefault="00022915" w:rsidP="00C53AB1">
            <w:pPr>
              <w:pStyle w:val="Tablebullets1stindent"/>
            </w:pPr>
            <w:r w:rsidRPr="00DA7A26">
              <w:t>refund point infrastructure and operations</w:t>
            </w:r>
          </w:p>
          <w:p w14:paraId="21D6A9AB" w14:textId="77777777" w:rsidR="00022915" w:rsidRPr="00DA7A26" w:rsidRDefault="00022915" w:rsidP="00C53AB1">
            <w:pPr>
              <w:pStyle w:val="Tablebullets1stindent"/>
            </w:pPr>
            <w:r w:rsidRPr="00DA7A26">
              <w:t>container collection and transport</w:t>
            </w:r>
          </w:p>
          <w:p w14:paraId="4337CA94" w14:textId="77777777" w:rsidR="00022915" w:rsidRPr="00421D13" w:rsidRDefault="00022915" w:rsidP="00C53AB1">
            <w:pPr>
              <w:pStyle w:val="Tabletext0"/>
              <w:keepLines/>
              <w:widowControl w:val="0"/>
              <w:spacing w:before="60" w:after="20"/>
              <w:rPr>
                <w:rFonts w:cs="Arial"/>
                <w:szCs w:val="20"/>
              </w:rPr>
            </w:pPr>
            <w:r w:rsidRPr="00421D13">
              <w:rPr>
                <w:rFonts w:cs="Arial"/>
                <w:szCs w:val="20"/>
              </w:rPr>
              <w:t>Participation costs</w:t>
            </w:r>
          </w:p>
          <w:p w14:paraId="4E637837" w14:textId="77777777" w:rsidR="00022915" w:rsidRPr="00DA7A26" w:rsidRDefault="00022915" w:rsidP="00C53AB1">
            <w:pPr>
              <w:pStyle w:val="Tablebullets1stindent"/>
            </w:pPr>
            <w:r w:rsidRPr="00DA7A26">
              <w:t>households engaged in recycling</w:t>
            </w:r>
          </w:p>
          <w:p w14:paraId="5907B7C3" w14:textId="77777777" w:rsidR="00022915" w:rsidRPr="00DA7A26" w:rsidRDefault="00022915" w:rsidP="00C53AB1">
            <w:pPr>
              <w:pStyle w:val="Tablebullets1stindent"/>
            </w:pPr>
            <w:r w:rsidRPr="00DA7A26">
              <w:t>businesses engaged in recycling</w:t>
            </w:r>
          </w:p>
          <w:p w14:paraId="18218F41" w14:textId="77777777" w:rsidR="00022915" w:rsidRPr="00DA7A26" w:rsidRDefault="00022915" w:rsidP="00C53AB1">
            <w:pPr>
              <w:pStyle w:val="Tablebullets1stindent"/>
            </w:pPr>
            <w:r w:rsidRPr="00DA7A26">
              <w:t>beverage and retail industry costs</w:t>
            </w:r>
          </w:p>
          <w:p w14:paraId="5A817B2A" w14:textId="77777777" w:rsidR="00022915" w:rsidRPr="00DA7A26" w:rsidRDefault="00022915" w:rsidP="00C53AB1">
            <w:pPr>
              <w:pStyle w:val="Tablebullets1stindent"/>
            </w:pPr>
            <w:r w:rsidRPr="00DA7A26">
              <w:t xml:space="preserve">compliance </w:t>
            </w:r>
            <w:r w:rsidRPr="00BB5064">
              <w:t xml:space="preserve">and </w:t>
            </w:r>
            <w:r w:rsidRPr="00463E2D">
              <w:t>transition costs</w:t>
            </w:r>
          </w:p>
        </w:tc>
        <w:tc>
          <w:tcPr>
            <w:tcW w:w="2500" w:type="pct"/>
            <w:shd w:val="clear" w:color="auto" w:fill="auto"/>
          </w:tcPr>
          <w:p w14:paraId="345EF032" w14:textId="77777777" w:rsidR="00022915" w:rsidRPr="00421D13" w:rsidRDefault="00022915" w:rsidP="00C53AB1">
            <w:pPr>
              <w:pStyle w:val="Tabletext0"/>
              <w:keepLines/>
              <w:widowControl w:val="0"/>
              <w:spacing w:before="60" w:after="20"/>
              <w:rPr>
                <w:rFonts w:cs="Arial"/>
                <w:szCs w:val="20"/>
              </w:rPr>
            </w:pPr>
            <w:r w:rsidRPr="00421D13">
              <w:rPr>
                <w:rFonts w:cs="Arial"/>
                <w:szCs w:val="20"/>
              </w:rPr>
              <w:t>Avoided landfill costs</w:t>
            </w:r>
          </w:p>
          <w:p w14:paraId="39318442" w14:textId="77777777" w:rsidR="00022915" w:rsidRPr="00DA7A26" w:rsidRDefault="00022915" w:rsidP="00C53AB1">
            <w:pPr>
              <w:pStyle w:val="Tablebullets1stindent"/>
            </w:pPr>
            <w:r w:rsidRPr="00DA7A26">
              <w:t>garbage and recycling collection and transport</w:t>
            </w:r>
          </w:p>
          <w:p w14:paraId="3BABA681" w14:textId="77777777" w:rsidR="00022915" w:rsidRPr="00DA7A26" w:rsidRDefault="00022915" w:rsidP="00C53AB1">
            <w:pPr>
              <w:pStyle w:val="Tablebullets1stindent"/>
            </w:pPr>
            <w:r w:rsidRPr="00DA7A26">
              <w:t>material recovery facility processing</w:t>
            </w:r>
          </w:p>
          <w:p w14:paraId="431F6420" w14:textId="77777777" w:rsidR="00022915" w:rsidRPr="00DA7A26" w:rsidRDefault="00022915" w:rsidP="00C53AB1">
            <w:pPr>
              <w:pStyle w:val="Tablebullets1stindent"/>
            </w:pPr>
            <w:r w:rsidRPr="00DA7A26">
              <w:t>landfill operating costs</w:t>
            </w:r>
          </w:p>
          <w:p w14:paraId="2651017C" w14:textId="77777777" w:rsidR="00022915" w:rsidRPr="00DA7A26" w:rsidRDefault="00022915" w:rsidP="00C53AB1">
            <w:pPr>
              <w:pStyle w:val="Tablebullets1stindent"/>
            </w:pPr>
            <w:r w:rsidRPr="00DA7A26">
              <w:t>landfill externalities</w:t>
            </w:r>
          </w:p>
          <w:p w14:paraId="0CB2AE11" w14:textId="77777777" w:rsidR="00022915" w:rsidRPr="00421D13" w:rsidRDefault="00022915" w:rsidP="00C53AB1">
            <w:pPr>
              <w:pStyle w:val="Tabletext0"/>
              <w:spacing w:before="60" w:after="20"/>
              <w:ind w:left="380" w:hanging="357"/>
              <w:rPr>
                <w:rFonts w:cs="Arial"/>
                <w:szCs w:val="20"/>
              </w:rPr>
            </w:pPr>
            <w:r w:rsidRPr="00421D13">
              <w:rPr>
                <w:rFonts w:cs="Arial"/>
                <w:szCs w:val="20"/>
              </w:rPr>
              <w:t>Avoided costs of litter</w:t>
            </w:r>
          </w:p>
          <w:p w14:paraId="3DCC889C" w14:textId="77777777" w:rsidR="00022915" w:rsidRPr="00421D13" w:rsidRDefault="00022915" w:rsidP="00C53AB1">
            <w:pPr>
              <w:pStyle w:val="Tabletext0"/>
              <w:keepLines/>
              <w:widowControl w:val="0"/>
              <w:spacing w:before="60" w:after="20"/>
              <w:rPr>
                <w:rFonts w:cs="Arial"/>
                <w:szCs w:val="20"/>
              </w:rPr>
            </w:pPr>
            <w:r w:rsidRPr="00421D13">
              <w:rPr>
                <w:rFonts w:cs="Arial"/>
                <w:szCs w:val="20"/>
              </w:rPr>
              <w:t>Value of recovered material/recyclates</w:t>
            </w:r>
          </w:p>
          <w:p w14:paraId="6AA1989E" w14:textId="77777777" w:rsidR="00022915" w:rsidRPr="00DA7A26" w:rsidRDefault="00022915" w:rsidP="00C53AB1">
            <w:pPr>
              <w:pStyle w:val="Tablebullets1stindent"/>
            </w:pPr>
            <w:r w:rsidRPr="00DA7A26">
              <w:t>paper/cardboard</w:t>
            </w:r>
          </w:p>
          <w:p w14:paraId="5468DE55" w14:textId="77777777" w:rsidR="00022915" w:rsidRPr="00DA7A26" w:rsidRDefault="00022915" w:rsidP="00C53AB1">
            <w:pPr>
              <w:pStyle w:val="Tablebullets1stindent"/>
            </w:pPr>
            <w:r w:rsidRPr="00DA7A26">
              <w:t>glass</w:t>
            </w:r>
          </w:p>
          <w:p w14:paraId="56264329" w14:textId="77777777" w:rsidR="00022915" w:rsidRPr="00DA7A26" w:rsidRDefault="00022915" w:rsidP="00C53AB1">
            <w:pPr>
              <w:pStyle w:val="Tablebullets1stindent"/>
            </w:pPr>
            <w:r w:rsidRPr="00DA7A26">
              <w:t>plastics</w:t>
            </w:r>
          </w:p>
          <w:p w14:paraId="14EB6566" w14:textId="77777777" w:rsidR="00022915" w:rsidRPr="00DA7A26" w:rsidRDefault="00022915" w:rsidP="00C53AB1">
            <w:pPr>
              <w:pStyle w:val="Tablebullets1stindent"/>
            </w:pPr>
            <w:r w:rsidRPr="00DA7A26">
              <w:t>steel cans</w:t>
            </w:r>
          </w:p>
          <w:p w14:paraId="259DA3F1" w14:textId="77777777" w:rsidR="00022915" w:rsidRPr="00DA7A26" w:rsidRDefault="00022915" w:rsidP="00C53AB1">
            <w:pPr>
              <w:pStyle w:val="Tablebullets1stindent"/>
            </w:pPr>
            <w:r w:rsidRPr="00DA7A26">
              <w:t>aluminium cans</w:t>
            </w:r>
          </w:p>
        </w:tc>
      </w:tr>
    </w:tbl>
    <w:p w14:paraId="13FDE21C" w14:textId="18CFCD62" w:rsidR="009A6DF2" w:rsidRPr="001F12B4" w:rsidRDefault="009A6DF2" w:rsidP="001F12B4">
      <w:pPr>
        <w:rPr>
          <w:rStyle w:val="Hyperlink"/>
          <w:rFonts w:cstheme="minorBidi"/>
          <w:color w:val="auto"/>
          <w:sz w:val="2"/>
          <w:szCs w:val="2"/>
          <w:u w:val="none"/>
        </w:rPr>
        <w:sectPr w:rsidR="009A6DF2" w:rsidRPr="001F12B4" w:rsidSect="00067EA7">
          <w:headerReference w:type="default" r:id="rId56"/>
          <w:pgSz w:w="11909" w:h="16838"/>
          <w:pgMar w:top="1440" w:right="1440" w:bottom="1440" w:left="1440" w:header="720" w:footer="720" w:gutter="0"/>
          <w:cols w:space="720"/>
          <w:noEndnote/>
          <w:docGrid w:linePitch="299"/>
        </w:sectPr>
      </w:pPr>
    </w:p>
    <w:p w14:paraId="4C5544C5" w14:textId="77777777" w:rsidR="00F63233" w:rsidRPr="00C362E9" w:rsidRDefault="00F63233" w:rsidP="00921681">
      <w:pPr>
        <w:spacing w:before="240" w:after="240"/>
      </w:pPr>
    </w:p>
    <w:sectPr w:rsidR="00F63233" w:rsidRPr="00C362E9" w:rsidSect="001F12B4">
      <w:headerReference w:type="default" r:id="rId57"/>
      <w:footerReference w:type="default" r:id="rId58"/>
      <w:pgSz w:w="11909" w:h="16838"/>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B2693" w14:textId="77777777" w:rsidR="00CF34D3" w:rsidRDefault="00CF34D3" w:rsidP="00022915">
      <w:pPr>
        <w:spacing w:after="0" w:line="240" w:lineRule="auto"/>
      </w:pPr>
      <w:r>
        <w:separator/>
      </w:r>
    </w:p>
  </w:endnote>
  <w:endnote w:type="continuationSeparator" w:id="0">
    <w:p w14:paraId="647E7003" w14:textId="77777777" w:rsidR="00CF34D3" w:rsidRDefault="00CF34D3" w:rsidP="00022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Lato">
    <w:altName w:val="Calibri"/>
    <w:charset w:val="00"/>
    <w:family w:val="swiss"/>
    <w:pitch w:val="variable"/>
    <w:sig w:usb0="E10002FF" w:usb1="5000E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05963" w14:textId="77777777" w:rsidR="00CF34D3" w:rsidRPr="006679D8" w:rsidRDefault="00CF34D3" w:rsidP="00C53AB1">
    <w:pPr>
      <w:pStyle w:val="Footer"/>
      <w:tabs>
        <w:tab w:val="clear" w:pos="8306"/>
        <w:tab w:val="right" w:pos="9356"/>
      </w:tabs>
    </w:pPr>
    <w:r>
      <w:fldChar w:fldCharType="begin"/>
    </w:r>
    <w:r>
      <w:instrText xml:space="preserve"> PAGE </w:instrText>
    </w:r>
    <w:r>
      <w:fldChar w:fldCharType="separate"/>
    </w:r>
    <w:r>
      <w:rPr>
        <w:noProof/>
      </w:rPr>
      <w:t>ii</w:t>
    </w:r>
    <w:r>
      <w:rPr>
        <w:noProof/>
      </w:rPr>
      <w:fldChar w:fldCharType="end"/>
    </w:r>
    <w:r>
      <w:tab/>
    </w:r>
    <w:r>
      <w:tab/>
    </w:r>
    <w:r>
      <w:fldChar w:fldCharType="begin"/>
    </w:r>
    <w:r>
      <w:instrText xml:space="preserve"> DocProperty "Company"</w:instrText>
    </w:r>
    <w:r>
      <w:fldChar w:fldCharType="end"/>
    </w:r>
    <w:r>
      <w:t xml:space="preserve"> and Environmental Regulation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886F7" w14:textId="77777777" w:rsidR="00CF34D3" w:rsidRPr="006679D8" w:rsidRDefault="00CF34D3" w:rsidP="00C53AB1">
    <w:pPr>
      <w:pStyle w:val="Footer"/>
    </w:pPr>
    <w:r>
      <w:fldChar w:fldCharType="begin"/>
    </w:r>
    <w:r>
      <w:instrText xml:space="preserve"> DocProperty "Company"</w:instrText>
    </w:r>
    <w:r>
      <w:fldChar w:fldCharType="end"/>
    </w:r>
    <w:r>
      <w:t xml:space="preserve"> and Environmental Regulation</w:t>
    </w:r>
    <w:r>
      <w:tab/>
    </w:r>
    <w:r>
      <w:tab/>
    </w:r>
    <w:r>
      <w:rPr>
        <w:rStyle w:val="PageNumber"/>
      </w:rPr>
      <w:fldChar w:fldCharType="begin"/>
    </w:r>
    <w:r>
      <w:rPr>
        <w:rStyle w:val="PageNumber"/>
      </w:rPr>
      <w:instrText xml:space="preserve"> PAGE </w:instrText>
    </w:r>
    <w:r>
      <w:rPr>
        <w:rStyle w:val="PageNumber"/>
      </w:rPr>
      <w:fldChar w:fldCharType="separate"/>
    </w:r>
    <w:r w:rsidR="00D5060F">
      <w:rPr>
        <w:rStyle w:val="PageNumber"/>
        <w:noProof/>
      </w:rPr>
      <w:t>xii</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84FC5" w14:textId="77777777" w:rsidR="00CF34D3" w:rsidRPr="00F90C3E" w:rsidRDefault="00CF34D3" w:rsidP="00C53AB1">
    <w:pPr>
      <w:pStyle w:val="Footer"/>
      <w:tabs>
        <w:tab w:val="clear" w:pos="8306"/>
        <w:tab w:val="right" w:pos="9072"/>
      </w:tabs>
    </w:pPr>
    <w:r>
      <w:fldChar w:fldCharType="begin"/>
    </w:r>
    <w:r>
      <w:instrText xml:space="preserve"> PAGE </w:instrText>
    </w:r>
    <w:r>
      <w:fldChar w:fldCharType="separate"/>
    </w:r>
    <w:r>
      <w:rPr>
        <w:noProof/>
      </w:rPr>
      <w:t>70</w:t>
    </w:r>
    <w:r>
      <w:rPr>
        <w:noProof/>
      </w:rPr>
      <w:fldChar w:fldCharType="end"/>
    </w:r>
    <w:r>
      <w:tab/>
    </w:r>
    <w:r>
      <w:tab/>
    </w:r>
    <w:r>
      <w:fldChar w:fldCharType="begin"/>
    </w:r>
    <w:r>
      <w:instrText xml:space="preserve"> DocProperty "Company"</w:instrText>
    </w:r>
    <w:r>
      <w:fldChar w:fldCharType="end"/>
    </w:r>
    <w:r>
      <w:t xml:space="preserve"> and Environmental Regulation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EB87E" w14:textId="335A69F9" w:rsidR="00CF34D3" w:rsidRDefault="00CF34D3" w:rsidP="00C53AB1">
    <w:pPr>
      <w:pStyle w:val="Footer"/>
      <w:tabs>
        <w:tab w:val="clear" w:pos="8306"/>
        <w:tab w:val="right" w:pos="9072"/>
      </w:tabs>
    </w:pPr>
    <w:r>
      <w:fldChar w:fldCharType="begin"/>
    </w:r>
    <w:r>
      <w:instrText xml:space="preserve"> DocProperty "Company"</w:instrText>
    </w:r>
    <w:r>
      <w:fldChar w:fldCharType="end"/>
    </w:r>
    <w:r>
      <w:fldChar w:fldCharType="begin"/>
    </w:r>
    <w:r>
      <w:instrText xml:space="preserve"> DocProperty "Company"</w:instrText>
    </w:r>
    <w:r>
      <w:fldChar w:fldCharType="separate"/>
    </w:r>
    <w:r>
      <w:t>Department of Water</w:t>
    </w:r>
    <w:r>
      <w:fldChar w:fldCharType="end"/>
    </w:r>
    <w:r>
      <w:t xml:space="preserve"> and Environmental Regulation</w:t>
    </w:r>
    <w:r>
      <w:tab/>
    </w:r>
    <w:r>
      <w:tab/>
    </w:r>
    <w:r>
      <w:rPr>
        <w:rStyle w:val="PageNumber"/>
      </w:rPr>
      <w:fldChar w:fldCharType="begin"/>
    </w:r>
    <w:r>
      <w:rPr>
        <w:rStyle w:val="PageNumber"/>
      </w:rPr>
      <w:instrText xml:space="preserve"> PAGE  \* Arabic </w:instrText>
    </w:r>
    <w:r>
      <w:rPr>
        <w:rStyle w:val="PageNumber"/>
      </w:rPr>
      <w:fldChar w:fldCharType="separate"/>
    </w:r>
    <w:r w:rsidR="00D5060F">
      <w:rPr>
        <w:rStyle w:val="PageNumber"/>
        <w:noProof/>
      </w:rPr>
      <w:t>71</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2618F" w14:textId="72F6515A" w:rsidR="00CF34D3" w:rsidRDefault="00CF34D3" w:rsidP="00C53AB1">
    <w:pPr>
      <w:pStyle w:val="Footer"/>
      <w:tabs>
        <w:tab w:val="clear" w:pos="8306"/>
        <w:tab w:val="right" w:pos="9072"/>
      </w:tabs>
    </w:pPr>
    <w:r>
      <w:fldChar w:fldCharType="begin"/>
    </w:r>
    <w:r>
      <w:instrText xml:space="preserve"> DocProperty "Company"</w:instrText>
    </w:r>
    <w:r>
      <w:fldChar w:fldCharType="end"/>
    </w:r>
    <w:r>
      <w:tab/>
    </w:r>
    <w:r>
      <w:rPr>
        <w:rStyle w:val="PageNumber"/>
      </w:rPr>
      <w:fldChar w:fldCharType="begin"/>
    </w:r>
    <w:r>
      <w:rPr>
        <w:rStyle w:val="PageNumber"/>
      </w:rPr>
      <w:instrText xml:space="preserve"> PAGE  \* Arabic </w:instrText>
    </w:r>
    <w:r>
      <w:rPr>
        <w:rStyle w:val="PageNumber"/>
      </w:rPr>
      <w:fldChar w:fldCharType="separate"/>
    </w:r>
    <w:r w:rsidR="00D5060F">
      <w:rPr>
        <w:rStyle w:val="PageNumber"/>
        <w:noProof/>
      </w:rPr>
      <w:t>72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C3A4C0" w14:textId="77777777" w:rsidR="00CF34D3" w:rsidRDefault="00CF34D3" w:rsidP="00022915">
      <w:pPr>
        <w:spacing w:after="0" w:line="240" w:lineRule="auto"/>
      </w:pPr>
      <w:r>
        <w:separator/>
      </w:r>
    </w:p>
  </w:footnote>
  <w:footnote w:type="continuationSeparator" w:id="0">
    <w:p w14:paraId="7AD354C6" w14:textId="77777777" w:rsidR="00CF34D3" w:rsidRDefault="00CF34D3" w:rsidP="00022915">
      <w:pPr>
        <w:spacing w:after="0" w:line="240" w:lineRule="auto"/>
      </w:pPr>
      <w:r>
        <w:continuationSeparator/>
      </w:r>
    </w:p>
  </w:footnote>
  <w:footnote w:id="1">
    <w:p w14:paraId="58EAD436" w14:textId="77777777" w:rsidR="00CF34D3" w:rsidRDefault="00CF34D3" w:rsidP="00022915">
      <w:pPr>
        <w:pStyle w:val="FootnoteText"/>
      </w:pPr>
      <w:r>
        <w:rPr>
          <w:rStyle w:val="FootnoteReference"/>
        </w:rPr>
        <w:footnoteRef/>
      </w:r>
      <w:r>
        <w:t xml:space="preserve"> </w:t>
      </w:r>
      <w:r>
        <w:tab/>
      </w:r>
      <w:hyperlink r:id="rId1" w:history="1">
        <w:r w:rsidRPr="00E606AB">
          <w:rPr>
            <w:rStyle w:val="Hyperlink"/>
          </w:rPr>
          <w:t>https://www.der.wa.gov.au/our-work/consultation/69-closed-consultations/504-consultation-regulatory-impact-statement</w:t>
        </w:r>
      </w:hyperlink>
      <w:r>
        <w:t xml:space="preserve"> </w:t>
      </w:r>
    </w:p>
  </w:footnote>
  <w:footnote w:id="2">
    <w:p w14:paraId="43DBF442" w14:textId="77777777" w:rsidR="00CF34D3" w:rsidRDefault="00CF34D3" w:rsidP="00022915">
      <w:pPr>
        <w:pStyle w:val="FootnoteText"/>
      </w:pPr>
      <w:r>
        <w:rPr>
          <w:rStyle w:val="FootnoteReference"/>
        </w:rPr>
        <w:footnoteRef/>
      </w:r>
      <w:r>
        <w:t xml:space="preserve"> </w:t>
      </w:r>
      <w:r>
        <w:tab/>
        <w:t>The analysis has drawn on the best available data on current and projected container use in Western Australia, including data provided by industry experts as well as the beverage industry.</w:t>
      </w:r>
    </w:p>
  </w:footnote>
  <w:footnote w:id="3">
    <w:p w14:paraId="68365D3E" w14:textId="77777777" w:rsidR="00CF34D3" w:rsidRDefault="00CF34D3" w:rsidP="00022915">
      <w:pPr>
        <w:pStyle w:val="FootnoteText"/>
      </w:pPr>
      <w:r>
        <w:rPr>
          <w:rStyle w:val="FootnoteReference"/>
        </w:rPr>
        <w:footnoteRef/>
      </w:r>
      <w:r>
        <w:t xml:space="preserve"> </w:t>
      </w:r>
      <w:r>
        <w:tab/>
      </w:r>
      <w:hyperlink r:id="rId2" w:history="1">
        <w:r w:rsidRPr="00CE6195">
          <w:rPr>
            <w:rStyle w:val="Hyperlink"/>
          </w:rPr>
          <w:t>https://www.der.wa.gov.au/images/CDS/CDS-Minimum_network_standards-Refund_point_locations_and_hours_of_operat....pdf</w:t>
        </w:r>
      </w:hyperlink>
      <w:r>
        <w:t xml:space="preserve">  </w:t>
      </w:r>
    </w:p>
  </w:footnote>
  <w:footnote w:id="4">
    <w:p w14:paraId="08A4087D" w14:textId="77777777" w:rsidR="00CF34D3" w:rsidRDefault="00CF34D3" w:rsidP="00022915">
      <w:pPr>
        <w:pStyle w:val="FootnoteText"/>
      </w:pPr>
      <w:r>
        <w:rPr>
          <w:rStyle w:val="FootnoteReference"/>
        </w:rPr>
        <w:footnoteRef/>
      </w:r>
      <w:r>
        <w:t xml:space="preserve"> </w:t>
      </w:r>
      <w:r>
        <w:tab/>
      </w:r>
      <w:hyperlink r:id="rId3" w:history="1">
        <w:r w:rsidRPr="00CE6195">
          <w:rPr>
            <w:rStyle w:val="Hyperlink"/>
          </w:rPr>
          <w:t>https://www.der.wa.gov.au/our-work/consultation/69-closed-consultations/513-draft-customer-service-standards-for-collection-network</w:t>
        </w:r>
      </w:hyperlink>
      <w:r>
        <w:t xml:space="preserve"> </w:t>
      </w:r>
    </w:p>
  </w:footnote>
  <w:footnote w:id="5">
    <w:p w14:paraId="17E66BA5" w14:textId="77777777" w:rsidR="00CF34D3" w:rsidRPr="002D1EC5" w:rsidRDefault="00CF34D3" w:rsidP="00022915">
      <w:pPr>
        <w:pStyle w:val="FootnoteText"/>
      </w:pPr>
      <w:r w:rsidRPr="002D1EC5">
        <w:rPr>
          <w:rStyle w:val="FootnoteReference"/>
          <w:rFonts w:cs="Arial"/>
        </w:rPr>
        <w:footnoteRef/>
      </w:r>
      <w:r w:rsidRPr="002D1EC5">
        <w:t xml:space="preserve"> </w:t>
      </w:r>
      <w:r w:rsidRPr="002D1EC5">
        <w:tab/>
        <w:t>Analysis of National Litter Index survey data 2010-16 for litter volumes</w:t>
      </w:r>
      <w:r>
        <w:t>.</w:t>
      </w:r>
    </w:p>
  </w:footnote>
  <w:footnote w:id="6">
    <w:p w14:paraId="7DBC504F" w14:textId="77777777" w:rsidR="00CF34D3" w:rsidRPr="00B37DA0" w:rsidRDefault="00CF34D3" w:rsidP="00022915">
      <w:pPr>
        <w:pStyle w:val="FootnoteText"/>
      </w:pPr>
      <w:r w:rsidRPr="002D1EC5">
        <w:rPr>
          <w:rStyle w:val="FootnoteReference"/>
          <w:rFonts w:cs="Arial"/>
        </w:rPr>
        <w:footnoteRef/>
      </w:r>
      <w:r w:rsidRPr="002D1EC5">
        <w:t xml:space="preserve"> </w:t>
      </w:r>
      <w:r w:rsidRPr="002D1EC5">
        <w:tab/>
      </w:r>
      <w:r>
        <w:t>Ibid.</w:t>
      </w:r>
    </w:p>
  </w:footnote>
  <w:footnote w:id="7">
    <w:p w14:paraId="3C61EFD2" w14:textId="77777777" w:rsidR="00CF34D3" w:rsidRDefault="00CF34D3" w:rsidP="00022915">
      <w:pPr>
        <w:pStyle w:val="FootnoteText"/>
      </w:pPr>
      <w:r>
        <w:rPr>
          <w:rStyle w:val="FootnoteReference"/>
        </w:rPr>
        <w:footnoteRef/>
      </w:r>
      <w:r>
        <w:t xml:space="preserve"> </w:t>
      </w:r>
      <w:r>
        <w:tab/>
        <w:t>The CDS excludes containers below 150 millilitres.  This aligns with the schemes in New South Wales, Queensland and the Australian Capital Territory, however, differs from South Australia’s and the Northern Territory’s CDS’s – which include these containers.</w:t>
      </w:r>
    </w:p>
  </w:footnote>
  <w:footnote w:id="8">
    <w:p w14:paraId="143A0E5A" w14:textId="77777777" w:rsidR="00CF34D3" w:rsidRDefault="00CF34D3" w:rsidP="00022915">
      <w:pPr>
        <w:pStyle w:val="FootnoteText"/>
        <w:ind w:left="142" w:hanging="142"/>
      </w:pPr>
      <w:r w:rsidRPr="00013DCD">
        <w:rPr>
          <w:rStyle w:val="FootnoteReference"/>
        </w:rPr>
        <w:footnoteRef/>
      </w:r>
      <w:r w:rsidRPr="00013DCD">
        <w:t xml:space="preserve"> </w:t>
      </w:r>
      <w:r w:rsidRPr="00013DCD">
        <w:tab/>
        <w:t xml:space="preserve">Marsden Jacob </w:t>
      </w:r>
      <w:r>
        <w:t xml:space="preserve">Associates, </w:t>
      </w:r>
      <w:r w:rsidRPr="00E30FF6">
        <w:rPr>
          <w:i/>
        </w:rPr>
        <w:t xml:space="preserve">Estimate of the total number and </w:t>
      </w:r>
      <w:r w:rsidRPr="0084024D">
        <w:rPr>
          <w:i/>
        </w:rPr>
        <w:t>weight</w:t>
      </w:r>
      <w:r w:rsidRPr="00E30FF6">
        <w:rPr>
          <w:i/>
        </w:rPr>
        <w:t xml:space="preserve"> of containers sold in </w:t>
      </w:r>
      <w:r>
        <w:rPr>
          <w:i/>
        </w:rPr>
        <w:t>Western Australia</w:t>
      </w:r>
      <w:r w:rsidRPr="00E30FF6">
        <w:rPr>
          <w:i/>
        </w:rPr>
        <w:t xml:space="preserve"> 2018</w:t>
      </w:r>
      <w:r>
        <w:t>, 2018, unpublished.</w:t>
      </w:r>
    </w:p>
  </w:footnote>
  <w:footnote w:id="9">
    <w:p w14:paraId="12455BFA" w14:textId="77777777" w:rsidR="00CF34D3" w:rsidRDefault="00CF34D3" w:rsidP="00022915">
      <w:pPr>
        <w:pStyle w:val="FootnoteText"/>
        <w:ind w:left="142" w:hanging="142"/>
      </w:pPr>
      <w:r w:rsidRPr="00013DCD">
        <w:rPr>
          <w:rStyle w:val="FootnoteReference"/>
        </w:rPr>
        <w:footnoteRef/>
      </w:r>
      <w:r w:rsidRPr="00013DCD">
        <w:t xml:space="preserve"> </w:t>
      </w:r>
      <w:r w:rsidRPr="00013DCD">
        <w:tab/>
        <w:t>Marsden Jacob Associates</w:t>
      </w:r>
      <w:r>
        <w:t xml:space="preserve">, </w:t>
      </w:r>
      <w:r w:rsidRPr="00E30FF6">
        <w:rPr>
          <w:i/>
        </w:rPr>
        <w:t>Modelling of the disposal fate of calculations, 2018</w:t>
      </w:r>
      <w:r w:rsidRPr="00013DCD">
        <w:t>, unpublished</w:t>
      </w:r>
      <w:r>
        <w:t>.</w:t>
      </w:r>
    </w:p>
  </w:footnote>
  <w:footnote w:id="10">
    <w:p w14:paraId="09E65207" w14:textId="77777777" w:rsidR="00CF34D3" w:rsidRDefault="00CF34D3" w:rsidP="00022915">
      <w:pPr>
        <w:pStyle w:val="FootnoteText"/>
      </w:pPr>
      <w:r>
        <w:rPr>
          <w:rStyle w:val="FootnoteReference"/>
        </w:rPr>
        <w:footnoteRef/>
      </w:r>
      <w:r>
        <w:t xml:space="preserve"> The Amendment Act is set out on the Western Australian Parliamentary webpage: </w:t>
      </w:r>
      <w:hyperlink r:id="rId4" w:history="1">
        <w:r w:rsidRPr="00CE6195">
          <w:rPr>
            <w:rStyle w:val="Hyperlink"/>
          </w:rPr>
          <w:t>www.parliament.wa.gov.au/parliament/bills.nsf/BillProgressPopup?openForm&amp;ParentUNID=988116A31DB73F894825835300342EC3</w:t>
        </w:r>
      </w:hyperlink>
      <w:r>
        <w:t xml:space="preserve">.  Changes under the Amendment Act included the insertion of section 5A into the </w:t>
      </w:r>
      <w:r w:rsidRPr="00DF0B73">
        <w:rPr>
          <w:i/>
        </w:rPr>
        <w:t>Waste Avoidance and Resource Recovery Act 2007</w:t>
      </w:r>
      <w:r>
        <w:t xml:space="preserve"> – available here: </w:t>
      </w:r>
      <w:hyperlink r:id="rId5" w:history="1">
        <w:r>
          <w:rPr>
            <w:rStyle w:val="Hyperlink"/>
          </w:rPr>
          <w:t>www.legislation.wa.gov.au/legislation/statutes.nsf/law_a146643.html</w:t>
        </w:r>
      </w:hyperlink>
      <w:r>
        <w:t xml:space="preserve"> </w:t>
      </w:r>
    </w:p>
  </w:footnote>
  <w:footnote w:id="11">
    <w:p w14:paraId="63E57F9A" w14:textId="77777777" w:rsidR="00CF34D3" w:rsidRDefault="00CF34D3" w:rsidP="00022915">
      <w:pPr>
        <w:pStyle w:val="FootnoteText"/>
      </w:pPr>
      <w:r>
        <w:rPr>
          <w:rStyle w:val="FootnoteReference"/>
        </w:rPr>
        <w:footnoteRef/>
      </w:r>
      <w:r>
        <w:t xml:space="preserve"> </w:t>
      </w:r>
      <w:r>
        <w:tab/>
        <w:t>COAG Best practice regulation a guide for ministerial councils and national standard setting bodies, October 2007, See Appendix A.</w:t>
      </w:r>
    </w:p>
  </w:footnote>
  <w:footnote w:id="12">
    <w:p w14:paraId="765D2576" w14:textId="77777777" w:rsidR="00CF34D3" w:rsidRDefault="00CF34D3" w:rsidP="00022915">
      <w:pPr>
        <w:pStyle w:val="FootnoteText"/>
      </w:pPr>
      <w:r>
        <w:rPr>
          <w:rStyle w:val="FootnoteReference"/>
        </w:rPr>
        <w:footnoteRef/>
      </w:r>
      <w:r>
        <w:t xml:space="preserve"> </w:t>
      </w:r>
      <w:r>
        <w:tab/>
      </w:r>
      <w:hyperlink r:id="rId6" w:history="1">
        <w:r w:rsidRPr="002026E6">
          <w:rPr>
            <w:rStyle w:val="Hyperlink"/>
          </w:rPr>
          <w:t>https://www.der.wa.gov.au/images/documents/our-work/programs/CDS/CDS_Advisory_Group_-_Terms_of_Reference.pdf</w:t>
        </w:r>
      </w:hyperlink>
      <w:r>
        <w:t xml:space="preserve"> and </w:t>
      </w:r>
      <w:hyperlink r:id="rId7" w:history="1">
        <w:r w:rsidRPr="002026E6">
          <w:rPr>
            <w:rStyle w:val="Hyperlink"/>
          </w:rPr>
          <w:t>https://www.der.wa.gov.au/our-work/programs/111-wa-container-deposit-scheme</w:t>
        </w:r>
      </w:hyperlink>
      <w:r>
        <w:t xml:space="preserve">. </w:t>
      </w:r>
    </w:p>
  </w:footnote>
  <w:footnote w:id="13">
    <w:p w14:paraId="6E731CFF" w14:textId="77777777" w:rsidR="00CF34D3" w:rsidRDefault="00CF34D3" w:rsidP="00022915">
      <w:pPr>
        <w:pStyle w:val="FootnoteText"/>
      </w:pPr>
      <w:r>
        <w:rPr>
          <w:rStyle w:val="FootnoteReference"/>
        </w:rPr>
        <w:footnoteRef/>
      </w:r>
      <w:r>
        <w:t xml:space="preserve"> </w:t>
      </w:r>
      <w:r>
        <w:tab/>
        <w:t xml:space="preserve">The Western Australian Government </w:t>
      </w:r>
      <w:r w:rsidRPr="00222881">
        <w:t>is currently working</w:t>
      </w:r>
      <w:r>
        <w:t xml:space="preserve"> with stakeholders through the Container Deposit Scheme Advisory Group and the Technical Working Groups to develop specific, measurable, achievable, relevant and time-bound indicators that address the statutory objectives of the scheme and the statutory functions of the Scheme Coordinator.</w:t>
      </w:r>
    </w:p>
  </w:footnote>
  <w:footnote w:id="14">
    <w:p w14:paraId="512C49AA" w14:textId="77777777" w:rsidR="00CF34D3" w:rsidRDefault="00CF34D3" w:rsidP="00022915">
      <w:pPr>
        <w:pStyle w:val="FootnoteText"/>
      </w:pPr>
      <w:r>
        <w:rPr>
          <w:rStyle w:val="FootnoteReference"/>
        </w:rPr>
        <w:footnoteRef/>
      </w:r>
      <w:r>
        <w:t xml:space="preserve"> </w:t>
      </w:r>
      <w:r>
        <w:tab/>
        <w:t xml:space="preserve">To reduce littering and landfill and increase recovery and recycling of beverage containers. </w:t>
      </w:r>
    </w:p>
  </w:footnote>
  <w:footnote w:id="15">
    <w:p w14:paraId="2B12CF4F" w14:textId="77777777" w:rsidR="00CF34D3" w:rsidRDefault="00CF34D3" w:rsidP="00022915">
      <w:pPr>
        <w:pStyle w:val="FootnoteText"/>
      </w:pPr>
      <w:r>
        <w:rPr>
          <w:rStyle w:val="FootnoteReference"/>
        </w:rPr>
        <w:footnoteRef/>
      </w:r>
      <w:r>
        <w:t xml:space="preserve"> </w:t>
      </w:r>
      <w:r>
        <w:tab/>
        <w:t xml:space="preserve">The Western Australian Government is working with local government and the waste industry to ensure the scheme </w:t>
      </w:r>
      <w:r w:rsidRPr="004379EE">
        <w:t>complement</w:t>
      </w:r>
      <w:r>
        <w:t>s</w:t>
      </w:r>
      <w:r w:rsidRPr="004379EE">
        <w:t xml:space="preserve"> existing collection and recycling activities for recyclable waste</w:t>
      </w:r>
      <w:r>
        <w:t xml:space="preserve">. </w:t>
      </w:r>
    </w:p>
  </w:footnote>
  <w:footnote w:id="16">
    <w:p w14:paraId="0BA7C74B" w14:textId="77777777" w:rsidR="00CF34D3" w:rsidRDefault="00CF34D3" w:rsidP="00022915">
      <w:pPr>
        <w:pStyle w:val="FootnoteText"/>
      </w:pPr>
      <w:r>
        <w:rPr>
          <w:rStyle w:val="FootnoteReference"/>
        </w:rPr>
        <w:footnoteRef/>
      </w:r>
      <w:r>
        <w:t xml:space="preserve"> </w:t>
      </w:r>
      <w:r>
        <w:tab/>
        <w:t xml:space="preserve">The Western Australian Government is working with local government and the waste industry creating opportunities for employment and </w:t>
      </w:r>
      <w:r w:rsidRPr="004379EE">
        <w:t>complement</w:t>
      </w:r>
      <w:r>
        <w:t>ing</w:t>
      </w:r>
      <w:r w:rsidRPr="004379EE">
        <w:t xml:space="preserve"> existing collection and recycling activities for recyclable waste</w:t>
      </w:r>
      <w:r>
        <w:t>.</w:t>
      </w:r>
    </w:p>
  </w:footnote>
  <w:footnote w:id="17">
    <w:p w14:paraId="3E954790" w14:textId="77777777" w:rsidR="00CF34D3" w:rsidRDefault="00CF34D3" w:rsidP="00022915">
      <w:pPr>
        <w:pStyle w:val="FootnoteText"/>
      </w:pPr>
      <w:r>
        <w:rPr>
          <w:rStyle w:val="FootnoteReference"/>
        </w:rPr>
        <w:footnoteRef/>
      </w:r>
      <w:r>
        <w:t xml:space="preserve"> </w:t>
      </w:r>
      <w:r>
        <w:tab/>
      </w:r>
      <w:hyperlink r:id="rId8" w:history="1">
        <w:r w:rsidRPr="003D574F">
          <w:rPr>
            <w:rStyle w:val="Hyperlink"/>
          </w:rPr>
          <w:t>https://www.kabc.wa.gov.au/library/file/annual-reports/REDITED%20FINAL%20Litter%20Prevention%20Strategy%202015%20new%20edits%20WEB.pdf</w:t>
        </w:r>
      </w:hyperlink>
      <w:r>
        <w:t xml:space="preserve"> </w:t>
      </w:r>
    </w:p>
  </w:footnote>
  <w:footnote w:id="18">
    <w:p w14:paraId="7FE72571" w14:textId="77777777" w:rsidR="00CF34D3" w:rsidRDefault="00CF34D3" w:rsidP="00022915">
      <w:pPr>
        <w:pStyle w:val="FootnoteText"/>
      </w:pPr>
      <w:r>
        <w:rPr>
          <w:rStyle w:val="FootnoteReference"/>
        </w:rPr>
        <w:footnoteRef/>
      </w:r>
      <w:r>
        <w:t xml:space="preserve"> </w:t>
      </w:r>
      <w:r>
        <w:tab/>
      </w:r>
      <w:hyperlink r:id="rId9" w:history="1">
        <w:r w:rsidRPr="00294133">
          <w:rPr>
            <w:rStyle w:val="Hyperlink"/>
          </w:rPr>
          <w:t>www.wasteauthority.wa.gov.au/about/waste-strategy/review-of-waste-strategy</w:t>
        </w:r>
      </w:hyperlink>
      <w:r w:rsidRPr="0083027F">
        <w:t xml:space="preserve"> (</w:t>
      </w:r>
      <w:r w:rsidRPr="00933855">
        <w:t>accessed</w:t>
      </w:r>
      <w:r w:rsidRPr="000B3803">
        <w:t xml:space="preserve"> </w:t>
      </w:r>
      <w:r>
        <w:t>October</w:t>
      </w:r>
      <w:r w:rsidRPr="000B3803">
        <w:t xml:space="preserve"> 2018).</w:t>
      </w:r>
    </w:p>
  </w:footnote>
  <w:footnote w:id="19">
    <w:p w14:paraId="619460DA" w14:textId="77777777" w:rsidR="00CF34D3" w:rsidRDefault="00CF34D3" w:rsidP="00022915">
      <w:pPr>
        <w:pStyle w:val="FootnoteText"/>
      </w:pPr>
      <w:r>
        <w:rPr>
          <w:rStyle w:val="FootnoteReference"/>
        </w:rPr>
        <w:footnoteRef/>
      </w:r>
      <w:r>
        <w:t xml:space="preserve"> </w:t>
      </w:r>
      <w:r>
        <w:tab/>
      </w:r>
      <w:r w:rsidRPr="00431CBF">
        <w:t>‘Thirst for good’ (AFGC 2016).  This is discussed in section 3.3</w:t>
      </w:r>
    </w:p>
  </w:footnote>
  <w:footnote w:id="20">
    <w:p w14:paraId="14546E54" w14:textId="77777777" w:rsidR="00CF34D3" w:rsidRDefault="00CF34D3" w:rsidP="00022915">
      <w:pPr>
        <w:pStyle w:val="FootnoteText"/>
      </w:pPr>
      <w:r>
        <w:rPr>
          <w:rStyle w:val="FootnoteReference"/>
        </w:rPr>
        <w:footnoteRef/>
      </w:r>
      <w:r>
        <w:t xml:space="preserve"> </w:t>
      </w:r>
      <w:r>
        <w:tab/>
        <w:t>As noted above, a temporary exemption may be used under the TTMRA.  However, this does not appear to be a desirable long term solution.</w:t>
      </w:r>
    </w:p>
  </w:footnote>
  <w:footnote w:id="21">
    <w:p w14:paraId="06194BE9" w14:textId="77777777" w:rsidR="00CF34D3" w:rsidRDefault="00CF34D3" w:rsidP="00022915">
      <w:pPr>
        <w:pStyle w:val="FootnoteText"/>
      </w:pPr>
      <w:r>
        <w:rPr>
          <w:rStyle w:val="FootnoteReference"/>
        </w:rPr>
        <w:footnoteRef/>
      </w:r>
      <w:r>
        <w:t xml:space="preserve"> </w:t>
      </w:r>
      <w:r>
        <w:tab/>
        <w:t xml:space="preserve">As the CDS in South Australia predates the Mutual Recognition Act, it does not require an exemption.  </w:t>
      </w:r>
      <w:r w:rsidRPr="00C15076">
        <w:t>Queensland are currently operating under a temporary exemption as set out in section 15 the MR Act.</w:t>
      </w:r>
      <w:r>
        <w:t xml:space="preserve"> </w:t>
      </w:r>
    </w:p>
  </w:footnote>
  <w:footnote w:id="22">
    <w:p w14:paraId="1381D063" w14:textId="77777777" w:rsidR="00CF34D3" w:rsidRDefault="00CF34D3" w:rsidP="00022915">
      <w:pPr>
        <w:pStyle w:val="FootnoteText"/>
      </w:pPr>
      <w:r>
        <w:rPr>
          <w:rStyle w:val="FootnoteReference"/>
        </w:rPr>
        <w:footnoteRef/>
      </w:r>
      <w:r>
        <w:t xml:space="preserve"> </w:t>
      </w:r>
      <w:r>
        <w:tab/>
        <w:t>Containers are labelled by beverage industry to meet existing requirements in other jurisdictions. These refund markings will be accepted over the 24 month transition period.</w:t>
      </w:r>
    </w:p>
  </w:footnote>
  <w:footnote w:id="23">
    <w:p w14:paraId="762415EA" w14:textId="77777777" w:rsidR="00CF34D3" w:rsidRDefault="00CF34D3" w:rsidP="00022915">
      <w:pPr>
        <w:pStyle w:val="FootnoteText"/>
      </w:pPr>
      <w:r>
        <w:rPr>
          <w:rStyle w:val="FootnoteReference"/>
        </w:rPr>
        <w:footnoteRef/>
      </w:r>
      <w:r>
        <w:t xml:space="preserve"> </w:t>
      </w:r>
      <w:r>
        <w:tab/>
        <w:t>This arrangement has been agreed between Western Australian Local Government Association and the waste industry, with the endorsement of the CDS Advisory Committee.</w:t>
      </w:r>
    </w:p>
  </w:footnote>
  <w:footnote w:id="24">
    <w:p w14:paraId="6169BBCD" w14:textId="77777777" w:rsidR="00CF34D3" w:rsidRDefault="00CF34D3" w:rsidP="00022915">
      <w:pPr>
        <w:pStyle w:val="FootnoteText"/>
      </w:pPr>
      <w:r>
        <w:rPr>
          <w:rStyle w:val="FootnoteReference"/>
        </w:rPr>
        <w:footnoteRef/>
      </w:r>
      <w:r>
        <w:t xml:space="preserve"> </w:t>
      </w:r>
      <w:r>
        <w:tab/>
        <w:t>The Western Australian Government has developed specific, measurable, achievable, relevant and time-bound reporting requirements for the scheme in consultation with stakeholders through the Container Deposit Scheme Advisory Group and Technical Advisory Groups. It is expected that reporting requirements will be reported on a monthly, quarterly and annual basis, depending on the measure. This will form the baseline for measuring the performance of the scheme, and evolution of the scheme through reviews and operational improvements.</w:t>
      </w:r>
    </w:p>
  </w:footnote>
  <w:footnote w:id="25">
    <w:p w14:paraId="305682D0" w14:textId="77777777" w:rsidR="00CF34D3" w:rsidRPr="00FD0798" w:rsidRDefault="00CF34D3" w:rsidP="00022915">
      <w:pPr>
        <w:pStyle w:val="FootnoteText"/>
      </w:pPr>
      <w:r w:rsidRPr="00B03694">
        <w:rPr>
          <w:rStyle w:val="FootnoteReference"/>
        </w:rPr>
        <w:footnoteRef/>
      </w:r>
      <w:r w:rsidRPr="000B3803">
        <w:t xml:space="preserve"> </w:t>
      </w:r>
      <w:r w:rsidRPr="000B3803">
        <w:tab/>
        <w:t xml:space="preserve">The definition of containers </w:t>
      </w:r>
      <w:r>
        <w:t>is</w:t>
      </w:r>
      <w:r w:rsidRPr="000B3803">
        <w:t xml:space="preserve"> provided in the WARR Act, with the scope of eligible containers established through the </w:t>
      </w:r>
      <w:r w:rsidRPr="00D67FDF">
        <w:t>Act’s</w:t>
      </w:r>
      <w:r w:rsidRPr="000B3803">
        <w:t xml:space="preserve"> regulations.</w:t>
      </w:r>
    </w:p>
  </w:footnote>
  <w:footnote w:id="26">
    <w:p w14:paraId="01E52927" w14:textId="77777777" w:rsidR="00CF34D3" w:rsidRDefault="00CF34D3" w:rsidP="00022915">
      <w:pPr>
        <w:pStyle w:val="FootnoteText"/>
      </w:pPr>
      <w:r>
        <w:rPr>
          <w:rStyle w:val="FootnoteReference"/>
        </w:rPr>
        <w:footnoteRef/>
      </w:r>
      <w:r>
        <w:t xml:space="preserve"> </w:t>
      </w:r>
      <w:r>
        <w:tab/>
        <w:t>While the scope is consistent with that of South Australia’s and the Northern Territory’s CDSs, it will not include containers below 150 millilitres.</w:t>
      </w:r>
    </w:p>
  </w:footnote>
  <w:footnote w:id="27">
    <w:p w14:paraId="4F686A80" w14:textId="77777777" w:rsidR="00CF34D3" w:rsidRDefault="00CF34D3" w:rsidP="00022915">
      <w:pPr>
        <w:pStyle w:val="FootnoteText"/>
      </w:pPr>
      <w:r>
        <w:rPr>
          <w:rStyle w:val="FootnoteReference"/>
        </w:rPr>
        <w:footnoteRef/>
      </w:r>
      <w:r>
        <w:t xml:space="preserve">   </w:t>
      </w:r>
      <w:r w:rsidRPr="00AA23B0">
        <w:t>Issues include extension of container scope to include wine and spirit bottles, 2 litre milk containers and fruit juice containers.</w:t>
      </w:r>
    </w:p>
  </w:footnote>
  <w:footnote w:id="28">
    <w:p w14:paraId="73CA8638" w14:textId="77777777" w:rsidR="00CF34D3" w:rsidRDefault="00CF34D3" w:rsidP="00022915">
      <w:pPr>
        <w:pStyle w:val="FootnoteText"/>
      </w:pPr>
      <w:r>
        <w:rPr>
          <w:rStyle w:val="FootnoteReference"/>
        </w:rPr>
        <w:footnoteRef/>
      </w:r>
      <w:r>
        <w:t xml:space="preserve"> </w:t>
      </w:r>
      <w:r w:rsidRPr="004174F9">
        <w:t>https://www.der.wa.gov.au/images/CDS/CDS-Minimum%20network%20standards-consulation%20summary%2014%20May.pdf</w:t>
      </w:r>
    </w:p>
  </w:footnote>
  <w:footnote w:id="29">
    <w:p w14:paraId="3B8BFB65" w14:textId="77777777" w:rsidR="00CF34D3" w:rsidRDefault="00CF34D3" w:rsidP="00022915">
      <w:pPr>
        <w:pStyle w:val="FootnoteText"/>
        <w:spacing w:after="0"/>
      </w:pPr>
      <w:r>
        <w:rPr>
          <w:rStyle w:val="FootnoteReference"/>
        </w:rPr>
        <w:footnoteRef/>
      </w:r>
      <w:r>
        <w:t xml:space="preserve"> </w:t>
      </w:r>
      <w:r>
        <w:tab/>
        <w:t xml:space="preserve">This estimate is based on a full-time refund point for every 15,000 people, subject to: </w:t>
      </w:r>
    </w:p>
    <w:p w14:paraId="04381EA6" w14:textId="77777777" w:rsidR="00CF34D3" w:rsidRDefault="00CF34D3" w:rsidP="001F12B4">
      <w:pPr>
        <w:pStyle w:val="FootnoteText"/>
        <w:numPr>
          <w:ilvl w:val="0"/>
          <w:numId w:val="25"/>
        </w:numPr>
        <w:spacing w:after="0"/>
        <w:ind w:left="714" w:hanging="357"/>
      </w:pPr>
      <w:r>
        <w:t xml:space="preserve">one full time refund point for major regional centres with a population between 10,000 and 20,000; </w:t>
      </w:r>
    </w:p>
    <w:p w14:paraId="77FC6852" w14:textId="77777777" w:rsidR="00CF34D3" w:rsidRDefault="00CF34D3" w:rsidP="001F12B4">
      <w:pPr>
        <w:pStyle w:val="FootnoteText"/>
        <w:numPr>
          <w:ilvl w:val="0"/>
          <w:numId w:val="25"/>
        </w:numPr>
        <w:spacing w:after="0"/>
        <w:ind w:left="714" w:hanging="357"/>
      </w:pPr>
      <w:r>
        <w:t xml:space="preserve">at least two full time refund points for major regional centres with a population over 20,000; and </w:t>
      </w:r>
    </w:p>
    <w:p w14:paraId="293AFD76" w14:textId="77777777" w:rsidR="00CF34D3" w:rsidRDefault="00CF34D3" w:rsidP="001F12B4">
      <w:pPr>
        <w:pStyle w:val="FootnoteText"/>
        <w:numPr>
          <w:ilvl w:val="0"/>
          <w:numId w:val="25"/>
        </w:numPr>
      </w:pPr>
      <w:r>
        <w:t>a flexible refund point for a population threshold of 500.</w:t>
      </w:r>
    </w:p>
  </w:footnote>
  <w:footnote w:id="30">
    <w:p w14:paraId="571A7274" w14:textId="77777777" w:rsidR="00CF34D3" w:rsidRDefault="00CF34D3" w:rsidP="00022915">
      <w:pPr>
        <w:pStyle w:val="FootnoteText"/>
      </w:pPr>
      <w:r>
        <w:rPr>
          <w:rStyle w:val="FootnoteReference"/>
        </w:rPr>
        <w:footnoteRef/>
      </w:r>
      <w:r>
        <w:t xml:space="preserve"> </w:t>
      </w:r>
      <w:r>
        <w:tab/>
      </w:r>
      <w:hyperlink r:id="rId10" w:history="1">
        <w:r w:rsidRPr="00CE6195">
          <w:rPr>
            <w:rStyle w:val="Hyperlink"/>
          </w:rPr>
          <w:t>https://www.der.wa.gov.au/images/CDS/CDS-Minimum_network_standards-Refund_point_locations_and_hours_of_operat....pdf</w:t>
        </w:r>
      </w:hyperlink>
      <w:r>
        <w:t xml:space="preserve">  </w:t>
      </w:r>
    </w:p>
  </w:footnote>
  <w:footnote w:id="31">
    <w:p w14:paraId="2CA5BD22" w14:textId="77777777" w:rsidR="00CF34D3" w:rsidRDefault="00CF34D3" w:rsidP="00022915">
      <w:pPr>
        <w:pStyle w:val="FootnoteText"/>
      </w:pPr>
      <w:r>
        <w:rPr>
          <w:rStyle w:val="FootnoteReference"/>
        </w:rPr>
        <w:footnoteRef/>
      </w:r>
      <w:r>
        <w:t xml:space="preserve"> </w:t>
      </w:r>
      <w:r>
        <w:tab/>
        <w:t>In addition, some public submissions to the Consultation RIS raised concern about an industry led proposal although not providing specific reasons for this.</w:t>
      </w:r>
    </w:p>
  </w:footnote>
  <w:footnote w:id="32">
    <w:p w14:paraId="6D5597E4" w14:textId="77777777" w:rsidR="00CF34D3" w:rsidRDefault="00CF34D3" w:rsidP="00022915">
      <w:pPr>
        <w:pStyle w:val="FootnoteText"/>
      </w:pPr>
      <w:r>
        <w:rPr>
          <w:rStyle w:val="FootnoteReference"/>
        </w:rPr>
        <w:footnoteRef/>
      </w:r>
      <w:r>
        <w:t xml:space="preserve"> </w:t>
      </w:r>
      <w:r>
        <w:tab/>
        <w:t>Appendix A provides detailed discussion of the assumptions used in the cost-benefit analysis.</w:t>
      </w:r>
    </w:p>
  </w:footnote>
  <w:footnote w:id="33">
    <w:p w14:paraId="07B0FE2B" w14:textId="77777777" w:rsidR="00CF34D3" w:rsidRDefault="00CF34D3" w:rsidP="00022915">
      <w:pPr>
        <w:pStyle w:val="FootnoteText"/>
      </w:pPr>
      <w:r>
        <w:rPr>
          <w:rStyle w:val="FootnoteReference"/>
        </w:rPr>
        <w:footnoteRef/>
      </w:r>
      <w:r>
        <w:t xml:space="preserve"> </w:t>
      </w:r>
      <w:r>
        <w:tab/>
        <w:t>In its submission WALGA noted that the introduction may reduce collection costs for kerbside recycling as compaction rates may improve for recyclate collection vehicles.</w:t>
      </w:r>
    </w:p>
  </w:footnote>
  <w:footnote w:id="34">
    <w:p w14:paraId="2C13604F" w14:textId="77777777" w:rsidR="00CF34D3" w:rsidRDefault="00CF34D3" w:rsidP="00022915">
      <w:pPr>
        <w:pStyle w:val="FootnoteText"/>
      </w:pPr>
      <w:r>
        <w:rPr>
          <w:rStyle w:val="FootnoteReference"/>
        </w:rPr>
        <w:footnoteRef/>
      </w:r>
      <w:r>
        <w:t xml:space="preserve"> </w:t>
      </w:r>
      <w:r>
        <w:tab/>
        <w:t>Appendix A provides detailed discussion of the assumptions used in the cost-benefit analysis.</w:t>
      </w:r>
    </w:p>
  </w:footnote>
  <w:footnote w:id="35">
    <w:p w14:paraId="7E628260" w14:textId="77777777" w:rsidR="00CF34D3" w:rsidRDefault="00CF34D3" w:rsidP="00022915">
      <w:pPr>
        <w:pStyle w:val="FootnoteText"/>
      </w:pPr>
      <w:r>
        <w:rPr>
          <w:rStyle w:val="FootnoteReference"/>
        </w:rPr>
        <w:footnoteRef/>
      </w:r>
      <w:r>
        <w:tab/>
        <w:t xml:space="preserve">Estimates of the global cost of marine plastics are $13 billion USD.  UNEP (2014) </w:t>
      </w:r>
      <w:r w:rsidRPr="00E30FF6">
        <w:rPr>
          <w:i/>
        </w:rPr>
        <w:t>Valuing Plastics: The Business Case for Measuring, Managing and Disclosing Plastic Use in the Consumer Goods Industry</w:t>
      </w:r>
      <w:r>
        <w:t xml:space="preserve"> </w:t>
      </w:r>
    </w:p>
  </w:footnote>
  <w:footnote w:id="36">
    <w:p w14:paraId="24308840" w14:textId="77777777" w:rsidR="00CF34D3" w:rsidRDefault="00CF34D3" w:rsidP="00022915">
      <w:pPr>
        <w:pStyle w:val="FootnoteText"/>
      </w:pPr>
      <w:r>
        <w:rPr>
          <w:rStyle w:val="FootnoteReference"/>
        </w:rPr>
        <w:footnoteRef/>
      </w:r>
      <w:r>
        <w:t xml:space="preserve"> </w:t>
      </w:r>
      <w:r>
        <w:tab/>
        <w:t>Similarly, there could perceivably be unintended negative changes to behaviour such as the impact of homeless people going through bins to retrieve bottles (although, homeless people are probably already exposed to such hazards for other reasons).  Such costs have not been included nor have any additional cost by government been included to accommodate such hazards.</w:t>
      </w:r>
    </w:p>
  </w:footnote>
  <w:footnote w:id="37">
    <w:p w14:paraId="74E7BDF6" w14:textId="77777777" w:rsidR="00CF34D3" w:rsidRDefault="00CF34D3" w:rsidP="00022915">
      <w:pPr>
        <w:pStyle w:val="FootnoteText"/>
      </w:pPr>
      <w:r>
        <w:rPr>
          <w:rStyle w:val="FootnoteReference"/>
        </w:rPr>
        <w:footnoteRef/>
      </w:r>
      <w:r>
        <w:t xml:space="preserve"> </w:t>
      </w:r>
      <w:r>
        <w:tab/>
        <w:t xml:space="preserve">This would result in </w:t>
      </w:r>
      <w:r w:rsidRPr="00167176">
        <w:t>the cost to consumers per</w:t>
      </w:r>
      <w:r>
        <w:t xml:space="preserve"> beverage being up to 10 cents plus the cost of administration.</w:t>
      </w:r>
    </w:p>
  </w:footnote>
  <w:footnote w:id="38">
    <w:p w14:paraId="796F87D7" w14:textId="77777777" w:rsidR="00CF34D3" w:rsidRDefault="00CF34D3" w:rsidP="00022915">
      <w:pPr>
        <w:pStyle w:val="FootnoteText"/>
      </w:pPr>
      <w:r>
        <w:rPr>
          <w:rStyle w:val="FootnoteReference"/>
        </w:rPr>
        <w:footnoteRef/>
      </w:r>
      <w:r>
        <w:t xml:space="preserve"> </w:t>
      </w:r>
      <w:r>
        <w:tab/>
      </w:r>
      <w:hyperlink r:id="rId11" w:history="1">
        <w:r w:rsidRPr="006E6361">
          <w:rPr>
            <w:rStyle w:val="Hyperlink"/>
          </w:rPr>
          <w:t>https://ris.pmc.gov.au/sites/default/files/posts/2018/03/final_decision_ris.pdf</w:t>
        </w:r>
      </w:hyperlink>
      <w:r>
        <w:t xml:space="preserve"> </w:t>
      </w:r>
    </w:p>
  </w:footnote>
  <w:footnote w:id="39">
    <w:p w14:paraId="46BB3E83" w14:textId="77777777" w:rsidR="00CF34D3" w:rsidRDefault="00CF34D3" w:rsidP="00022915">
      <w:pPr>
        <w:pStyle w:val="FootnoteText"/>
      </w:pPr>
      <w:r>
        <w:rPr>
          <w:rStyle w:val="FootnoteReference"/>
        </w:rPr>
        <w:footnoteRef/>
      </w:r>
      <w:r>
        <w:t xml:space="preserve"> </w:t>
      </w:r>
      <w:r>
        <w:tab/>
        <w:t>While no explicit analysis of this has been undertaken, it is noted that Coca Cola Amatil announced that in New South Wales, it intends to pass on the full CDS refund amount and fees to customers (</w:t>
      </w:r>
      <w:r w:rsidRPr="007B71AD">
        <w:t>ASX Announcement, 18 August 201</w:t>
      </w:r>
      <w:r>
        <w:t xml:space="preserve">7).  </w:t>
      </w:r>
    </w:p>
  </w:footnote>
  <w:footnote w:id="40">
    <w:p w14:paraId="185A07BA" w14:textId="77777777" w:rsidR="00CF34D3" w:rsidRDefault="00CF34D3" w:rsidP="00022915">
      <w:pPr>
        <w:pStyle w:val="FootnoteText"/>
      </w:pPr>
      <w:r>
        <w:rPr>
          <w:rStyle w:val="FootnoteReference"/>
        </w:rPr>
        <w:footnoteRef/>
      </w:r>
      <w:r>
        <w:t xml:space="preserve"> </w:t>
      </w:r>
      <w:r>
        <w:tab/>
        <w:t>This estimate was derived by the New South Wales Environmental Protection Agency but is not supported by strong data.  For this reason, a large range was used in the sensitivity analysis.</w:t>
      </w:r>
    </w:p>
  </w:footnote>
  <w:footnote w:id="41">
    <w:p w14:paraId="50E71FC5" w14:textId="77777777" w:rsidR="00CF34D3" w:rsidRDefault="00CF34D3" w:rsidP="00022915">
      <w:pPr>
        <w:pStyle w:val="Footnote"/>
      </w:pPr>
      <w:r>
        <w:rPr>
          <w:rStyle w:val="FootnoteReference"/>
        </w:rPr>
        <w:footnoteRef/>
      </w:r>
      <w:r>
        <w:t xml:space="preserve"> </w:t>
      </w:r>
      <w:r>
        <w:tab/>
        <w:t xml:space="preserve">The </w:t>
      </w:r>
      <w:r w:rsidRPr="008F5B7C">
        <w:t>calculation</w:t>
      </w:r>
      <w:r>
        <w:t xml:space="preserve"> of these values is set out in </w:t>
      </w:r>
      <w:r>
        <w:fldChar w:fldCharType="begin"/>
      </w:r>
      <w:r>
        <w:instrText xml:space="preserve"> REF _Ref499301407 \h </w:instrText>
      </w:r>
      <w:r>
        <w:fldChar w:fldCharType="separate"/>
      </w:r>
      <w:r w:rsidRPr="005B53D5">
        <w:t xml:space="preserve">Table </w:t>
      </w:r>
      <w:r>
        <w:rPr>
          <w:noProof/>
        </w:rPr>
        <w:t>20</w:t>
      </w:r>
      <w:r>
        <w:fldChar w:fldCharType="end"/>
      </w:r>
      <w:r>
        <w:t xml:space="preserve"> on page </w:t>
      </w:r>
      <w:r>
        <w:fldChar w:fldCharType="begin"/>
      </w:r>
      <w:r>
        <w:instrText xml:space="preserve"> PAGEREF _Ref509386379 \h </w:instrText>
      </w:r>
      <w:r>
        <w:fldChar w:fldCharType="separate"/>
      </w:r>
      <w:r>
        <w:rPr>
          <w:noProof/>
        </w:rPr>
        <w:t>61</w:t>
      </w:r>
      <w:r>
        <w:fldChar w:fldCharType="end"/>
      </w:r>
      <w:r>
        <w:t xml:space="preserve"> of this report.</w:t>
      </w:r>
    </w:p>
  </w:footnote>
  <w:footnote w:id="42">
    <w:p w14:paraId="4DBAA10E" w14:textId="77777777" w:rsidR="00CF34D3" w:rsidRDefault="00CF34D3" w:rsidP="00022915">
      <w:pPr>
        <w:pStyle w:val="FootnoteText"/>
      </w:pPr>
      <w:r>
        <w:rPr>
          <w:rStyle w:val="FootnoteReference"/>
        </w:rPr>
        <w:footnoteRef/>
      </w:r>
      <w:r>
        <w:t xml:space="preserve"> </w:t>
      </w:r>
      <w:r>
        <w:tab/>
        <w:t>Plus/minus 10 per cent on fixed and flexible refund points.</w:t>
      </w:r>
      <w:r w:rsidRPr="007F6715">
        <w:rPr>
          <w:rFonts w:cs="Arial"/>
          <w:color w:val="000000"/>
          <w:sz w:val="23"/>
          <w:szCs w:val="23"/>
        </w:rPr>
        <w:t xml:space="preserve"> </w:t>
      </w:r>
    </w:p>
  </w:footnote>
  <w:footnote w:id="43">
    <w:p w14:paraId="0BC183C9" w14:textId="77777777" w:rsidR="00CF34D3" w:rsidRDefault="00CF34D3" w:rsidP="00022915">
      <w:pPr>
        <w:pStyle w:val="FootnoteText"/>
      </w:pPr>
      <w:r w:rsidRPr="00A065C1">
        <w:rPr>
          <w:rStyle w:val="FootnoteReference"/>
        </w:rPr>
        <w:footnoteRef/>
      </w:r>
      <w:r>
        <w:t xml:space="preserve"> </w:t>
      </w:r>
      <w:r>
        <w:tab/>
        <w:t xml:space="preserve">Advice provided by the Western Australian </w:t>
      </w:r>
      <w:r w:rsidRPr="002158F6">
        <w:t>CDS advisory group</w:t>
      </w:r>
      <w:r>
        <w:t>,</w:t>
      </w:r>
      <w:r w:rsidRPr="0072652F">
        <w:t xml:space="preserve"> </w:t>
      </w:r>
      <w:r>
        <w:t>February 2018</w:t>
      </w:r>
    </w:p>
  </w:footnote>
  <w:footnote w:id="44">
    <w:p w14:paraId="19E96680" w14:textId="77777777" w:rsidR="00CF34D3" w:rsidRPr="00A065C1" w:rsidRDefault="00CF34D3" w:rsidP="00022915">
      <w:pPr>
        <w:pStyle w:val="FootnoteText"/>
      </w:pPr>
      <w:r>
        <w:rPr>
          <w:rStyle w:val="FootnoteReference"/>
        </w:rPr>
        <w:footnoteRef/>
      </w:r>
      <w:r>
        <w:t xml:space="preserve"> </w:t>
      </w:r>
      <w:r>
        <w:tab/>
        <w:t xml:space="preserve">This is same assumption as used in the New South Wales CDS RIS process.  This is seen as a conservative approach which may reflect changes in community behaviours but may also be a proxy for producers moving to lighter weight containers. </w:t>
      </w:r>
    </w:p>
  </w:footnote>
  <w:footnote w:id="45">
    <w:p w14:paraId="2A0E03FC" w14:textId="77777777" w:rsidR="00CF34D3" w:rsidRDefault="00CF34D3" w:rsidP="00022915">
      <w:pPr>
        <w:pStyle w:val="FootnoteText"/>
      </w:pPr>
      <w:r>
        <w:rPr>
          <w:rStyle w:val="FootnoteReference"/>
        </w:rPr>
        <w:footnoteRef/>
      </w:r>
      <w:r>
        <w:t xml:space="preserve"> </w:t>
      </w:r>
      <w:r>
        <w:tab/>
        <w:t>While frequency is not likely to change, wear and tear may be reduced and the speed with which collections occur may be increased.</w:t>
      </w:r>
    </w:p>
  </w:footnote>
  <w:footnote w:id="46">
    <w:p w14:paraId="76BB98F6" w14:textId="77777777" w:rsidR="00CF34D3" w:rsidRDefault="00CF34D3" w:rsidP="00022915">
      <w:pPr>
        <w:pStyle w:val="FootnoteText"/>
      </w:pPr>
      <w:r>
        <w:rPr>
          <w:rStyle w:val="FootnoteReference"/>
        </w:rPr>
        <w:footnoteRef/>
      </w:r>
      <w:r>
        <w:t xml:space="preserve"> </w:t>
      </w:r>
      <w:r>
        <w:tab/>
        <w:t xml:space="preserve">Indications on the total change in cost per container can be drawn from New South Wales, where the cost per container charged to beverage </w:t>
      </w:r>
      <w:r w:rsidRPr="00EE67D1">
        <w:t>manufacturers</w:t>
      </w:r>
      <w:r>
        <w:t xml:space="preserve"> for the first three months of the CDS was as follows: </w:t>
      </w:r>
    </w:p>
    <w:p w14:paraId="15E7FAF9" w14:textId="77777777" w:rsidR="00CF34D3" w:rsidRPr="007B71AD" w:rsidRDefault="00CF34D3" w:rsidP="00022915">
      <w:pPr>
        <w:pStyle w:val="FootnoteText"/>
        <w:ind w:firstLine="0"/>
        <w:rPr>
          <w:i/>
        </w:rPr>
      </w:pPr>
      <w:r w:rsidRPr="007B71AD">
        <w:rPr>
          <w:i/>
        </w:rPr>
        <w:t>the total estimated range of fees for the first three months will start at 13.54c [cents per container] and go down to 10.94c for aluminium, 14.07c and go down to 11.36c for glass, and 13.78c and go down to 11.13c for PET</w:t>
      </w:r>
      <w:r>
        <w:rPr>
          <w:i/>
        </w:rPr>
        <w:t xml:space="preserve">  </w:t>
      </w:r>
      <w:r w:rsidRPr="007B71AD">
        <w:t>(</w:t>
      </w:r>
      <w:hyperlink r:id="rId12" w:history="1">
        <w:r w:rsidRPr="007B71AD">
          <w:rPr>
            <w:rStyle w:val="Hyperlink"/>
          </w:rPr>
          <w:t>http://www.exchangeforchange.com.au/ReturnAndEarn_MediaRelease.pdf</w:t>
        </w:r>
      </w:hyperlink>
      <w:r w:rsidRPr="007B71AD">
        <w:t>)</w:t>
      </w:r>
    </w:p>
    <w:p w14:paraId="7F93E19E" w14:textId="77777777" w:rsidR="00CF34D3" w:rsidRDefault="00CF34D3" w:rsidP="00022915">
      <w:pPr>
        <w:pStyle w:val="FootnoteText"/>
        <w:ind w:firstLine="0"/>
      </w:pPr>
      <w:r w:rsidRPr="00F961A5">
        <w:t>The analysis assumes that the full cost is being passed through from the beverage industry.  The net impact on consumers depends on the</w:t>
      </w:r>
      <w:r>
        <w:t xml:space="preserve"> extent to which the consumer captures the refunds of consumed beverages.</w:t>
      </w:r>
    </w:p>
  </w:footnote>
  <w:footnote w:id="47">
    <w:p w14:paraId="67436F52" w14:textId="77777777" w:rsidR="00CF34D3" w:rsidRDefault="00CF34D3" w:rsidP="00022915">
      <w:pPr>
        <w:pStyle w:val="FootnoteText"/>
      </w:pPr>
      <w:r>
        <w:rPr>
          <w:rStyle w:val="FootnoteReference"/>
        </w:rPr>
        <w:footnoteRef/>
      </w:r>
      <w:r>
        <w:t xml:space="preserve"> </w:t>
      </w:r>
      <w:r>
        <w:tab/>
        <w:t>It is noted that this is consistent with reviews in other jurisdictions which have had CDSs for longer periods of time, such as Denmark (see Deloitte 2006, Jun).</w:t>
      </w:r>
    </w:p>
  </w:footnote>
  <w:footnote w:id="48">
    <w:p w14:paraId="21127F9F" w14:textId="77777777" w:rsidR="00CF34D3" w:rsidRDefault="00CF34D3" w:rsidP="00022915">
      <w:pPr>
        <w:pStyle w:val="FootnoteText"/>
      </w:pPr>
      <w:r>
        <w:rPr>
          <w:rStyle w:val="FootnoteReference"/>
        </w:rPr>
        <w:footnoteRef/>
      </w:r>
      <w:r>
        <w:t xml:space="preserve"> </w:t>
      </w:r>
      <w:r>
        <w:tab/>
      </w:r>
      <w:r w:rsidRPr="00A758B8">
        <w:t xml:space="preserve">COAG’s decision on whether to grant a permanent exemption for the </w:t>
      </w:r>
      <w:r>
        <w:t xml:space="preserve">Western Australian </w:t>
      </w:r>
      <w:r w:rsidRPr="00A758B8">
        <w:t xml:space="preserve">CDS under the MR WA </w:t>
      </w:r>
      <w:r>
        <w:t xml:space="preserve">Act </w:t>
      </w:r>
      <w:r w:rsidRPr="00A758B8">
        <w:t xml:space="preserve">and TTMR WA </w:t>
      </w:r>
      <w:r>
        <w:t xml:space="preserve">Act </w:t>
      </w:r>
      <w:r w:rsidRPr="00A758B8">
        <w:t xml:space="preserve">would impose minimal regulatory burden. For this reason, </w:t>
      </w:r>
      <w:r>
        <w:t>an</w:t>
      </w:r>
      <w:r w:rsidRPr="00A758B8">
        <w:t xml:space="preserve"> analysis of the regulatory burden measurement </w:t>
      </w:r>
      <w:r>
        <w:t>has not been set out in previous RISs on CDSs.</w:t>
      </w:r>
      <w:r w:rsidRPr="00A758B8">
        <w:t xml:space="preserve"> </w:t>
      </w:r>
    </w:p>
  </w:footnote>
  <w:footnote w:id="49">
    <w:p w14:paraId="5DB6C0A4" w14:textId="77777777" w:rsidR="00CF34D3" w:rsidRDefault="00CF34D3" w:rsidP="00022915">
      <w:pPr>
        <w:pStyle w:val="FootnoteText"/>
      </w:pPr>
      <w:r>
        <w:rPr>
          <w:rStyle w:val="FootnoteReference"/>
        </w:rPr>
        <w:footnoteRef/>
      </w:r>
      <w:r>
        <w:t xml:space="preserve"> </w:t>
      </w:r>
      <w:r>
        <w:tab/>
      </w:r>
      <w:hyperlink r:id="rId13" w:history="1">
        <w:r w:rsidRPr="00D22C4E">
          <w:rPr>
            <w:rStyle w:val="Hyperlink"/>
          </w:rPr>
          <w:t>http://www.epa.sa.gov.au/environmental_info/container_deposit</w:t>
        </w:r>
      </w:hyperlink>
      <w:r>
        <w:t xml:space="preserve"> </w:t>
      </w:r>
    </w:p>
  </w:footnote>
  <w:footnote w:id="50">
    <w:p w14:paraId="4709312A" w14:textId="77777777" w:rsidR="00CF34D3" w:rsidRDefault="00CF34D3" w:rsidP="00022915">
      <w:pPr>
        <w:pStyle w:val="FootnoteText"/>
      </w:pPr>
      <w:r>
        <w:rPr>
          <w:rStyle w:val="FootnoteReference"/>
        </w:rPr>
        <w:footnoteRef/>
      </w:r>
      <w:r>
        <w:t xml:space="preserve"> </w:t>
      </w:r>
      <w:r>
        <w:tab/>
      </w:r>
      <w:hyperlink r:id="rId14" w:history="1">
        <w:r w:rsidRPr="004B2C19">
          <w:rPr>
            <w:rStyle w:val="Hyperlink"/>
            <w:szCs w:val="18"/>
          </w:rPr>
          <w:t>http://returnandearn.org.au/</w:t>
        </w:r>
      </w:hyperlink>
      <w:r w:rsidRPr="004B2C19">
        <w:rPr>
          <w:szCs w:val="18"/>
        </w:rPr>
        <w:t xml:space="preserve"> </w:t>
      </w:r>
    </w:p>
  </w:footnote>
  <w:footnote w:id="51">
    <w:p w14:paraId="46AFED14" w14:textId="77777777" w:rsidR="00CF34D3" w:rsidRDefault="00CF34D3" w:rsidP="00022915">
      <w:pPr>
        <w:pStyle w:val="FootnoteText"/>
      </w:pPr>
      <w:r>
        <w:rPr>
          <w:rStyle w:val="FootnoteReference"/>
        </w:rPr>
        <w:footnoteRef/>
      </w:r>
      <w:r>
        <w:t xml:space="preserve"> </w:t>
      </w:r>
      <w:r>
        <w:tab/>
        <w:t xml:space="preserve"> </w:t>
      </w:r>
      <w:hyperlink r:id="rId15" w:history="1">
        <w:r w:rsidRPr="00D22C4E">
          <w:rPr>
            <w:rStyle w:val="Hyperlink"/>
          </w:rPr>
          <w:t>https://www.cmtedd.act.gov.au/open_government/inform/act_government_media_releases/act-transport-canberra-and-city-services-media-releases/2018/container-deposit-scheme-starts-saturday</w:t>
        </w:r>
      </w:hyperlink>
      <w:r>
        <w:t xml:space="preserve"> </w:t>
      </w:r>
    </w:p>
  </w:footnote>
  <w:footnote w:id="52">
    <w:p w14:paraId="6626E36B" w14:textId="77777777" w:rsidR="00CF34D3" w:rsidRDefault="00CF34D3" w:rsidP="00022915">
      <w:pPr>
        <w:pStyle w:val="FootnoteText"/>
      </w:pPr>
      <w:r>
        <w:rPr>
          <w:rStyle w:val="FootnoteReference"/>
        </w:rPr>
        <w:footnoteRef/>
      </w:r>
      <w:r>
        <w:t xml:space="preserve"> </w:t>
      </w:r>
      <w:r>
        <w:tab/>
      </w:r>
      <w:r w:rsidRPr="00EE67D1">
        <w:rPr>
          <w:rStyle w:val="Hyperlink"/>
        </w:rPr>
        <w:t>https://www.qld.gov.au/environment/pollution/management/waste/recovery/reduction/container-refund</w:t>
      </w:r>
    </w:p>
  </w:footnote>
  <w:footnote w:id="53">
    <w:p w14:paraId="7CEF60D3" w14:textId="77777777" w:rsidR="00CF34D3" w:rsidRDefault="00CF34D3" w:rsidP="00022915">
      <w:pPr>
        <w:pStyle w:val="FootnoteText"/>
      </w:pPr>
      <w:r>
        <w:rPr>
          <w:rStyle w:val="FootnoteReference"/>
        </w:rPr>
        <w:footnoteRef/>
      </w:r>
      <w:r>
        <w:t xml:space="preserve"> </w:t>
      </w:r>
      <w:r>
        <w:tab/>
      </w:r>
      <w:hyperlink r:id="rId16" w:history="1">
        <w:r w:rsidRPr="00A91C8A">
          <w:rPr>
            <w:rStyle w:val="Hyperlink"/>
          </w:rPr>
          <w:t>https://epa.tas.gov.au/epa/news/a-new-report-on-a-model-container-recovery-scheme-released</w:t>
        </w:r>
      </w:hyperlink>
    </w:p>
    <w:p w14:paraId="06628082" w14:textId="77777777" w:rsidR="00CF34D3" w:rsidRDefault="00CF34D3" w:rsidP="00022915">
      <w:pPr>
        <w:pStyle w:val="FootnoteText"/>
        <w:ind w:left="0" w:firstLine="0"/>
      </w:pPr>
    </w:p>
  </w:footnote>
  <w:footnote w:id="54">
    <w:p w14:paraId="0BE8A677" w14:textId="77777777" w:rsidR="00CF34D3" w:rsidRDefault="00CF34D3" w:rsidP="00022915">
      <w:pPr>
        <w:pStyle w:val="FootnoteText"/>
      </w:pPr>
      <w:r>
        <w:rPr>
          <w:rStyle w:val="FootnoteReference"/>
        </w:rPr>
        <w:footnoteRef/>
      </w:r>
      <w:r>
        <w:t xml:space="preserve"> </w:t>
      </w:r>
      <w:r w:rsidRPr="0037589F">
        <w:t xml:space="preserve">It is estimated that approximately 6 per cent (21.6 million) of New Zealand’s beverage container exports to Australia are consumed in Western Australia, about 1.7 per cent of the 1,300 </w:t>
      </w:r>
      <w:r w:rsidRPr="005210C1">
        <w:t>million</w:t>
      </w:r>
      <w:r>
        <w:t xml:space="preserve"> </w:t>
      </w:r>
      <w:r w:rsidRPr="0037589F">
        <w:t xml:space="preserve">containers within the scope of the container deposit scheme. </w:t>
      </w:r>
      <w:r>
        <w:t xml:space="preserve"> </w:t>
      </w:r>
      <w:r w:rsidRPr="0037589F">
        <w:t>Data sourced from Comtrade; based on assumed container sizes and that Western Australians consume these products in line with population figures.</w:t>
      </w:r>
    </w:p>
  </w:footnote>
  <w:footnote w:id="55">
    <w:p w14:paraId="7746CF49" w14:textId="77777777" w:rsidR="00CF34D3" w:rsidRDefault="00CF34D3" w:rsidP="00022915">
      <w:pPr>
        <w:pStyle w:val="FootnoteText"/>
        <w:spacing w:before="0" w:after="0"/>
      </w:pPr>
      <w:r w:rsidRPr="0074519D">
        <w:rPr>
          <w:rStyle w:val="FootnoteReference"/>
        </w:rPr>
        <w:footnoteRef/>
      </w:r>
      <w:r w:rsidRPr="0074519D">
        <w:rPr>
          <w:rStyle w:val="FootnoteReference"/>
        </w:rPr>
        <w:t xml:space="preserve"> </w:t>
      </w:r>
      <w:r w:rsidRPr="00A758B8">
        <w:tab/>
      </w:r>
      <w:r>
        <w:t>The Western Australian Government</w:t>
      </w:r>
      <w:r w:rsidRPr="00A758B8">
        <w:t xml:space="preserve"> is not proposing to charge a container approval fee, but it is expected that most containers will be approved in </w:t>
      </w:r>
      <w:r>
        <w:t>New South Wales</w:t>
      </w:r>
      <w:r w:rsidRPr="00A758B8">
        <w:t xml:space="preserve"> (and will then be deemed to be approved in </w:t>
      </w:r>
      <w:r>
        <w:t>Western Australia</w:t>
      </w:r>
      <w:r w:rsidRPr="00A758B8">
        <w:t xml:space="preserve">). </w:t>
      </w:r>
      <w:r>
        <w:t>The New South Wales</w:t>
      </w:r>
      <w:r w:rsidRPr="00A758B8">
        <w:t xml:space="preserve"> charges an $80 fee for </w:t>
      </w:r>
      <w:r>
        <w:t>a 5</w:t>
      </w:r>
      <w:r>
        <w:noBreakHyphen/>
        <w:t xml:space="preserve"> </w:t>
      </w:r>
      <w:r w:rsidRPr="00A758B8">
        <w:t>year container approval period.</w:t>
      </w:r>
    </w:p>
  </w:footnote>
  <w:footnote w:id="56">
    <w:p w14:paraId="728B1C3A" w14:textId="77777777" w:rsidR="00CF34D3" w:rsidRDefault="00CF34D3" w:rsidP="00022915">
      <w:pPr>
        <w:pStyle w:val="FootnoteText"/>
        <w:spacing w:before="0" w:after="0"/>
      </w:pPr>
      <w:r w:rsidRPr="0074519D">
        <w:rPr>
          <w:rStyle w:val="FootnoteReference"/>
        </w:rPr>
        <w:footnoteRef/>
      </w:r>
      <w:r w:rsidRPr="0074519D">
        <w:rPr>
          <w:rStyle w:val="FootnoteReference"/>
        </w:rPr>
        <w:t xml:space="preserve"> </w:t>
      </w:r>
      <w:r>
        <w:tab/>
      </w:r>
      <w:r w:rsidRPr="00CD287A">
        <w:t xml:space="preserve">The cost of adding a refund mark is not known, but </w:t>
      </w:r>
      <w:r>
        <w:t>it is expected</w:t>
      </w:r>
      <w:r w:rsidRPr="00CD287A">
        <w:t xml:space="preserve"> </w:t>
      </w:r>
      <w:r>
        <w:t xml:space="preserve">that </w:t>
      </w:r>
      <w:r w:rsidRPr="00CD287A">
        <w:t xml:space="preserve">most containers have </w:t>
      </w:r>
      <w:r>
        <w:t>a refund mark anyway–due to the requirements of other states and territories with existing CDSs</w:t>
      </w:r>
      <w:r w:rsidRPr="00CD287A">
        <w:t>.</w:t>
      </w:r>
    </w:p>
  </w:footnote>
  <w:footnote w:id="57">
    <w:p w14:paraId="5DC6CEE3" w14:textId="77777777" w:rsidR="00CF34D3" w:rsidRDefault="00CF34D3" w:rsidP="00022915">
      <w:pPr>
        <w:pStyle w:val="FootnoteText"/>
      </w:pPr>
      <w:r>
        <w:rPr>
          <w:rStyle w:val="FootnoteReference"/>
        </w:rPr>
        <w:footnoteRef/>
      </w:r>
      <w:r>
        <w:t xml:space="preserve"> </w:t>
      </w:r>
      <w:r>
        <w:tab/>
        <w:t>Marsden Jacob Associates, 2018, unpublished.</w:t>
      </w:r>
    </w:p>
  </w:footnote>
  <w:footnote w:id="58">
    <w:p w14:paraId="2EFBB102" w14:textId="77777777" w:rsidR="00CF34D3" w:rsidRDefault="00CF34D3" w:rsidP="00022915">
      <w:pPr>
        <w:pStyle w:val="FootnoteText"/>
      </w:pPr>
      <w:r>
        <w:rPr>
          <w:rStyle w:val="FootnoteReference"/>
        </w:rPr>
        <w:footnoteRef/>
      </w:r>
      <w:r>
        <w:t xml:space="preserve"> </w:t>
      </w:r>
      <w:r>
        <w:tab/>
        <w:t xml:space="preserve">See </w:t>
      </w:r>
      <w:hyperlink r:id="rId17" w:history="1">
        <w:r w:rsidRPr="002026E6">
          <w:rPr>
            <w:rStyle w:val="Hyperlink"/>
          </w:rPr>
          <w:t>http://anker-andersen.dk/deposit-laws/denmark.aspx</w:t>
        </w:r>
      </w:hyperlink>
      <w:r>
        <w:t xml:space="preserve"> and Deloitte (2006) Evaluering af Danske Retur System A/S, Report for Miljøstyrelsen (the Danish</w:t>
      </w:r>
      <w:r w:rsidRPr="004F0D19">
        <w:t xml:space="preserve"> Environmental Protection Agency</w:t>
      </w:r>
      <w:r>
        <w:t xml:space="preserve">) found that concern about the effect on small importers were unfounded. Other factors such as consumer preferences, equal treatment of different packaging materials, generally higher prices of small batch products dominate any impact of the CDS. </w:t>
      </w:r>
    </w:p>
  </w:footnote>
  <w:footnote w:id="59">
    <w:p w14:paraId="08C26BB4" w14:textId="77777777" w:rsidR="00CF34D3" w:rsidRDefault="00CF34D3" w:rsidP="00022915">
      <w:pPr>
        <w:pStyle w:val="FootnoteText"/>
      </w:pPr>
      <w:r>
        <w:rPr>
          <w:rStyle w:val="FootnoteReference"/>
        </w:rPr>
        <w:footnoteRef/>
      </w:r>
      <w:r>
        <w:t xml:space="preserve"> </w:t>
      </w:r>
      <w:r>
        <w:tab/>
        <w:t xml:space="preserve">IPART, 2018. However, IPART identified </w:t>
      </w:r>
      <w:r w:rsidRPr="00D97E98">
        <w:t>t</w:t>
      </w:r>
      <w:r>
        <w:t xml:space="preserve">wo existing </w:t>
      </w:r>
      <w:r w:rsidRPr="00D97E98">
        <w:t xml:space="preserve">issues </w:t>
      </w:r>
      <w:r>
        <w:t xml:space="preserve">in the NSW scheme that could </w:t>
      </w:r>
      <w:r w:rsidRPr="00D97E98">
        <w:t>create barriers to entry and restrict competition in the longer term and are recommending action to address each of these</w:t>
      </w:r>
      <w:r>
        <w:t>:</w:t>
      </w:r>
    </w:p>
    <w:p w14:paraId="25AA80EE" w14:textId="77777777" w:rsidR="00CF34D3" w:rsidRPr="005F61B6" w:rsidRDefault="00CF34D3" w:rsidP="001F12B4">
      <w:pPr>
        <w:pStyle w:val="FootnoteText"/>
        <w:numPr>
          <w:ilvl w:val="0"/>
          <w:numId w:val="28"/>
        </w:numPr>
      </w:pPr>
      <w:r w:rsidRPr="005F61B6">
        <w:t>The container beverage approval fee of $80 per product</w:t>
      </w:r>
      <w:r>
        <w:t xml:space="preserve"> </w:t>
      </w:r>
      <w:r w:rsidRPr="005F61B6">
        <w:t>may restrict the ability of small and boutique beverage suppliers to compete in the market. As these businesses typically supply a wide range of products in small volumes, this fee has a disproportionate impact on them. IPART recommended the container approval fee be reduced from $80 to $13.70 per product. This would mean that this fee only recovers the efficient variable costs associated with product assessment, with the fixed costs of the CDS Portal to be recovered through the scheme compliance fee</w:t>
      </w:r>
      <w:r>
        <w:t xml:space="preserve">. It is noted that a </w:t>
      </w:r>
      <w:r w:rsidRPr="005F61B6">
        <w:t>container approval fee</w:t>
      </w:r>
      <w:r>
        <w:t xml:space="preserve"> will not apply in Western Australia.</w:t>
      </w:r>
    </w:p>
    <w:p w14:paraId="1920E834" w14:textId="77777777" w:rsidR="00CF34D3" w:rsidRPr="005F61B6" w:rsidRDefault="00CF34D3" w:rsidP="001F12B4">
      <w:pPr>
        <w:pStyle w:val="FootnoteText"/>
        <w:numPr>
          <w:ilvl w:val="0"/>
          <w:numId w:val="28"/>
        </w:numPr>
      </w:pPr>
      <w:r w:rsidRPr="005F61B6">
        <w:t>The 7-day payment terms on Exchange for Change’s invoices to suppliers impose cashflow pressures on beverage businesses, particularly small and medium size businesses, and are out of step with normal business practice. IPART recommended that these terms be increased to 14 days.</w:t>
      </w:r>
    </w:p>
    <w:p w14:paraId="1E78E025" w14:textId="77777777" w:rsidR="00CF34D3" w:rsidRDefault="00CF34D3" w:rsidP="00022915">
      <w:pPr>
        <w:pStyle w:val="FootnoteText"/>
        <w:ind w:firstLine="0"/>
      </w:pPr>
      <w:r>
        <w:t>It is noted that these issues where not identified as an issue in the Danish scheme.</w:t>
      </w:r>
    </w:p>
  </w:footnote>
  <w:footnote w:id="60">
    <w:p w14:paraId="1E3BA956" w14:textId="77777777" w:rsidR="00CF34D3" w:rsidRDefault="00CF34D3" w:rsidP="00022915">
      <w:pPr>
        <w:pStyle w:val="FootnoteText"/>
      </w:pPr>
      <w:r>
        <w:rPr>
          <w:rStyle w:val="FootnoteReference"/>
        </w:rPr>
        <w:footnoteRef/>
      </w:r>
      <w:r>
        <w:t xml:space="preserve"> </w:t>
      </w:r>
      <w:r>
        <w:tab/>
      </w:r>
      <w:hyperlink r:id="rId18" w:history="1">
        <w:r w:rsidRPr="00E0698A">
          <w:rPr>
            <w:rStyle w:val="Hyperlink"/>
          </w:rPr>
          <w:t>www.der.wa.gov.au/our-work/programs/111-wa-container-deposit-scheme</w:t>
        </w:r>
      </w:hyperlink>
      <w:r w:rsidRPr="00E0698A">
        <w:t xml:space="preserve"> </w:t>
      </w:r>
      <w:r w:rsidRPr="007B71AD">
        <w:t>(accessed February 2018)</w:t>
      </w:r>
    </w:p>
  </w:footnote>
  <w:footnote w:id="61">
    <w:p w14:paraId="71DBFD10" w14:textId="77777777" w:rsidR="00CF34D3" w:rsidRDefault="00CF34D3" w:rsidP="00022915">
      <w:pPr>
        <w:pStyle w:val="FootnoteText"/>
      </w:pPr>
      <w:r>
        <w:rPr>
          <w:rStyle w:val="FootnoteReference"/>
        </w:rPr>
        <w:footnoteRef/>
      </w:r>
      <w:r>
        <w:t xml:space="preserve"> </w:t>
      </w:r>
      <w:r>
        <w:tab/>
      </w:r>
      <w:hyperlink r:id="rId19" w:history="1">
        <w:r w:rsidRPr="00F91E38">
          <w:rPr>
            <w:rStyle w:val="Hyperlink"/>
          </w:rPr>
          <w:t>https://www.der.wa.gov.au/our-work/consultation/69-closed-consultations/504-consultation-regulatory-impact-statement</w:t>
        </w:r>
      </w:hyperlink>
    </w:p>
  </w:footnote>
  <w:footnote w:id="62">
    <w:p w14:paraId="1F885131" w14:textId="77777777" w:rsidR="00CF34D3" w:rsidRDefault="00CF34D3" w:rsidP="00022915">
      <w:pPr>
        <w:pStyle w:val="FootnoteText"/>
      </w:pPr>
      <w:r>
        <w:rPr>
          <w:rStyle w:val="FootnoteReference"/>
        </w:rPr>
        <w:footnoteRef/>
      </w:r>
      <w:r>
        <w:t xml:space="preserve"> </w:t>
      </w:r>
      <w:r>
        <w:tab/>
        <w:t>A 24 month transition period during which containers without a refund mark or displaying non-compliant labels will be accepted should ensure smooth transition.</w:t>
      </w:r>
    </w:p>
  </w:footnote>
  <w:footnote w:id="63">
    <w:p w14:paraId="4B9F7A60" w14:textId="77777777" w:rsidR="00CF34D3" w:rsidRDefault="00CF34D3" w:rsidP="00022915">
      <w:pPr>
        <w:pStyle w:val="FootnoteText"/>
      </w:pPr>
      <w:r>
        <w:rPr>
          <w:rStyle w:val="FootnoteReference"/>
        </w:rPr>
        <w:footnoteRef/>
      </w:r>
      <w:r>
        <w:t xml:space="preserve">   The draft position statement was released for public comment which closed on 19 February 2019. See </w:t>
      </w:r>
      <w:r w:rsidRPr="008245F2">
        <w:t>https://www.dplh.wa.gov.au/container-deposit-scheme</w:t>
      </w:r>
      <w:r>
        <w:t xml:space="preserve">  A final position statement has recently been approved although at the time of writing had yet to be published.</w:t>
      </w:r>
    </w:p>
  </w:footnote>
  <w:footnote w:id="64">
    <w:p w14:paraId="402689D8" w14:textId="77777777" w:rsidR="00CF34D3" w:rsidRDefault="00CF34D3" w:rsidP="00022915">
      <w:pPr>
        <w:pStyle w:val="FootnoteText"/>
      </w:pPr>
      <w:r>
        <w:rPr>
          <w:rStyle w:val="FootnoteReference"/>
        </w:rPr>
        <w:footnoteRef/>
      </w:r>
      <w:r>
        <w:t xml:space="preserve"> </w:t>
      </w:r>
      <w:r>
        <w:tab/>
        <w:t xml:space="preserve">See </w:t>
      </w:r>
      <w:hyperlink r:id="rId20" w:history="1">
        <w:r w:rsidRPr="002026E6">
          <w:rPr>
            <w:rStyle w:val="Hyperlink"/>
          </w:rPr>
          <w:t>http://anker-andersen.dk/deposit-laws/denmark.aspx</w:t>
        </w:r>
      </w:hyperlink>
      <w:r>
        <w:t xml:space="preserve"> and Deloitte (2006) Evaluering af Danske Retur System A/S, Report for Miljøstyrelsen (the Danish</w:t>
      </w:r>
      <w:r w:rsidRPr="004F0D19">
        <w:t xml:space="preserve"> Environmental Protection Agency</w:t>
      </w:r>
      <w:r>
        <w:t xml:space="preserve">) found that concern about the effect on small importers were unfounded.  This is likely due to other factors such as consumer preferences, equal treatment of different packaging materials, generally higher prices of small batch products dominates any impact of the CDS. </w:t>
      </w:r>
    </w:p>
  </w:footnote>
  <w:footnote w:id="65">
    <w:p w14:paraId="2182FC90" w14:textId="77777777" w:rsidR="00CF34D3" w:rsidRDefault="00CF34D3" w:rsidP="00022915">
      <w:pPr>
        <w:pStyle w:val="FootnoteText"/>
      </w:pPr>
      <w:r>
        <w:rPr>
          <w:rStyle w:val="FootnoteReference"/>
        </w:rPr>
        <w:footnoteRef/>
      </w:r>
      <w:r>
        <w:t xml:space="preserve"> </w:t>
      </w:r>
      <w:r>
        <w:tab/>
        <w:t>COAG Best practice regulation a guide for ministerial councils and national standard setting bodies, October 2007, See Appendix A.</w:t>
      </w:r>
    </w:p>
  </w:footnote>
  <w:footnote w:id="66">
    <w:p w14:paraId="391FD2AA" w14:textId="77777777" w:rsidR="00CF34D3" w:rsidRDefault="00CF34D3" w:rsidP="00022915">
      <w:pPr>
        <w:pStyle w:val="FootnoteText"/>
      </w:pPr>
      <w:r>
        <w:rPr>
          <w:rStyle w:val="FootnoteReference"/>
        </w:rPr>
        <w:footnoteRef/>
      </w:r>
      <w:r>
        <w:t xml:space="preserve"> </w:t>
      </w:r>
      <w:r>
        <w:tab/>
      </w:r>
      <w:hyperlink r:id="rId21" w:history="1">
        <w:r w:rsidRPr="00CE6195">
          <w:rPr>
            <w:rStyle w:val="Hyperlink"/>
          </w:rPr>
          <w:t>https://www.der.wa.gov.au/our-work/consultation/69-closed-consultations/513-draft-customer-service-standards-for-collection-network</w:t>
        </w:r>
      </w:hyperlink>
      <w:r>
        <w:t xml:space="preserve"> </w:t>
      </w:r>
    </w:p>
  </w:footnote>
  <w:footnote w:id="67">
    <w:p w14:paraId="14E19FFF" w14:textId="77777777" w:rsidR="00CF34D3" w:rsidRDefault="00CF34D3" w:rsidP="00022915">
      <w:pPr>
        <w:pStyle w:val="FootnoteText"/>
      </w:pPr>
      <w:r>
        <w:rPr>
          <w:rStyle w:val="FootnoteReference"/>
        </w:rPr>
        <w:footnoteRef/>
      </w:r>
      <w:r>
        <w:t xml:space="preserve"> </w:t>
      </w:r>
      <w:r>
        <w:tab/>
        <w:t>As implemented through an amendment to the WARR Act.</w:t>
      </w:r>
    </w:p>
  </w:footnote>
  <w:footnote w:id="68">
    <w:p w14:paraId="2EC3C41E" w14:textId="77777777" w:rsidR="00CF34D3" w:rsidRDefault="00CF34D3" w:rsidP="00022915">
      <w:pPr>
        <w:pStyle w:val="FootnoteText"/>
      </w:pPr>
      <w:r w:rsidRPr="0074519D">
        <w:rPr>
          <w:rStyle w:val="FootnoteReference"/>
        </w:rPr>
        <w:footnoteRef/>
      </w:r>
      <w:r w:rsidRPr="0074519D">
        <w:rPr>
          <w:rStyle w:val="FootnoteReference"/>
        </w:rPr>
        <w:t xml:space="preserve"> </w:t>
      </w:r>
      <w:r>
        <w:tab/>
        <w:t>For consistency the analysis sh</w:t>
      </w:r>
      <w:r w:rsidRPr="00D33265">
        <w:t xml:space="preserve">ould capture the </w:t>
      </w:r>
      <w:r>
        <w:t>greenhouse gas</w:t>
      </w:r>
      <w:r w:rsidRPr="00D33265">
        <w:t xml:space="preserve"> emissions from other processes in the CDS. For example, the additional collection/transport </w:t>
      </w:r>
      <w:r>
        <w:t>act</w:t>
      </w:r>
      <w:r w:rsidRPr="00D33265">
        <w:t xml:space="preserve">ivities and the emissions embodied in the construction of new infrastructure </w:t>
      </w:r>
      <w:r>
        <w:t xml:space="preserve">would ideally be captured.  However due to difficulties in estimating the marginal change in emissions these have been omitted from the analysis. Additionally, Marsden Jacob Associates note that the assumed economic cost of transport is based on the values recommended in the Transport for NSW economic appraisal guidelines, which include various amenity impacts: </w:t>
      </w:r>
      <w:hyperlink r:id="rId22" w:history="1">
        <w:r w:rsidRPr="00C32696">
          <w:rPr>
            <w:rStyle w:val="Hyperlink"/>
            <w:szCs w:val="18"/>
          </w:rPr>
          <w:t>www.transport.nsw.gov.au/sites/default/files/media/documents/2017/principles-and-guidelines-for-economic-appraisal-of-transport-investment.pdf</w:t>
        </w:r>
      </w:hyperlink>
      <w:r>
        <w:t xml:space="preserve"> </w:t>
      </w:r>
      <w:r w:rsidRPr="00137AEF">
        <w:t>(February 2018).</w:t>
      </w:r>
    </w:p>
  </w:footnote>
  <w:footnote w:id="69">
    <w:p w14:paraId="27477B81" w14:textId="77777777" w:rsidR="00CF34D3" w:rsidRPr="002923AE" w:rsidRDefault="00CF34D3" w:rsidP="00022915">
      <w:pPr>
        <w:pStyle w:val="FootnoteText"/>
      </w:pPr>
      <w:r w:rsidRPr="0074519D">
        <w:rPr>
          <w:rStyle w:val="FootnoteReference"/>
        </w:rPr>
        <w:footnoteRef/>
      </w:r>
      <w:r>
        <w:t xml:space="preserve"> </w:t>
      </w:r>
      <w:r>
        <w:tab/>
      </w:r>
      <w:r w:rsidRPr="002923AE">
        <w:t xml:space="preserve">Value </w:t>
      </w:r>
      <w:r>
        <w:t>t</w:t>
      </w:r>
      <w:r w:rsidRPr="002923AE">
        <w:t>ransfer: In an ideal world, environmental values would be estimated for each proposed policy, considering all the details of the specific policy. However, the use of primary research to estimate environmental values can be costly and time consuming, and in real</w:t>
      </w:r>
      <w:r>
        <w:t>-</w:t>
      </w:r>
      <w:r w:rsidRPr="002923AE">
        <w:t xml:space="preserve">world policy processes the time and money required </w:t>
      </w:r>
      <w:r>
        <w:t>are</w:t>
      </w:r>
      <w:r w:rsidRPr="002923AE">
        <w:t xml:space="preserve"> often not available. Value transfer is the process of estimating environmental values in a location of interest (the policy site) by transferring values from studies already completed in another location (the study site). This removes the need for primary research.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9DE13" w14:textId="77777777" w:rsidR="00CF34D3" w:rsidRDefault="00CF34D3" w:rsidP="00C53AB1">
    <w:pPr>
      <w:pStyle w:val="Header"/>
      <w:tabs>
        <w:tab w:val="clear" w:pos="4153"/>
        <w:tab w:val="clear" w:pos="8306"/>
        <w:tab w:val="right" w:pos="9356"/>
      </w:tabs>
    </w:pPr>
    <w:r>
      <w:t>Western Australia container deposit scheme – decision regulation impact statement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D94BA" w14:textId="77777777" w:rsidR="00CF34D3" w:rsidRDefault="00CF34D3" w:rsidP="00C53AB1">
    <w:pPr>
      <w:pStyle w:val="Header"/>
      <w:tabs>
        <w:tab w:val="clear" w:pos="4153"/>
        <w:tab w:val="clear" w:pos="8306"/>
        <w:tab w:val="right" w:pos="9356"/>
      </w:tabs>
    </w:pPr>
    <w:r>
      <w:t>Western Australia container deposit scheme – decision regulation impact statement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1C7E4" w14:textId="2EA040FC" w:rsidR="00CF34D3" w:rsidRDefault="00CF34D3" w:rsidP="00C53AB1">
    <w:pPr>
      <w:pStyle w:val="Header"/>
      <w:tabs>
        <w:tab w:val="clear" w:pos="4153"/>
        <w:tab w:val="clear" w:pos="8306"/>
        <w:tab w:val="right" w:pos="9356"/>
      </w:tabs>
    </w:pPr>
    <w:r>
      <w:t>Western Australia container deposit scheme – decision regulation impact statement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721AB" w14:textId="54E9E0FB" w:rsidR="00CF34D3" w:rsidRDefault="00CF34D3" w:rsidP="00C53AB1">
    <w:pPr>
      <w:pStyle w:val="Header"/>
      <w:tabs>
        <w:tab w:val="clear" w:pos="4153"/>
        <w:tab w:val="clear" w:pos="8306"/>
        <w:tab w:val="right" w:pos="935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2A2A2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1D6911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F4CFF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E382E8E"/>
    <w:lvl w:ilvl="0">
      <w:start w:val="1"/>
      <w:numFmt w:val="lowerLetter"/>
      <w:pStyle w:val="ListNumber2"/>
      <w:lvlText w:val="%1"/>
      <w:lvlJc w:val="left"/>
      <w:pPr>
        <w:tabs>
          <w:tab w:val="num" w:pos="1562"/>
        </w:tabs>
        <w:ind w:left="1562" w:hanging="360"/>
      </w:pPr>
      <w:rPr>
        <w:rFonts w:hint="default"/>
      </w:rPr>
    </w:lvl>
  </w:abstractNum>
  <w:abstractNum w:abstractNumId="4" w15:restartNumberingAfterBreak="0">
    <w:nsid w:val="FFFFFF80"/>
    <w:multiLevelType w:val="singleLevel"/>
    <w:tmpl w:val="24A6684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DCBE0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0090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E16C8176"/>
    <w:lvl w:ilvl="0">
      <w:start w:val="1"/>
      <w:numFmt w:val="decimal"/>
      <w:pStyle w:val="ListNumber"/>
      <w:lvlText w:val="%1"/>
      <w:lvlJc w:val="left"/>
      <w:pPr>
        <w:tabs>
          <w:tab w:val="num" w:pos="717"/>
        </w:tabs>
        <w:ind w:left="717" w:hanging="360"/>
      </w:pPr>
      <w:rPr>
        <w:rFonts w:hint="default"/>
      </w:rPr>
    </w:lvl>
  </w:abstractNum>
  <w:abstractNum w:abstractNumId="8" w15:restartNumberingAfterBreak="0">
    <w:nsid w:val="015B3E7A"/>
    <w:multiLevelType w:val="hybridMultilevel"/>
    <w:tmpl w:val="FA80869C"/>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CF2A5B"/>
    <w:multiLevelType w:val="multilevel"/>
    <w:tmpl w:val="B7720B24"/>
    <w:lvl w:ilvl="0">
      <w:start w:val="1"/>
      <w:numFmt w:val="decimal"/>
      <w:pStyle w:val="Numberlist"/>
      <w:lvlText w:val="%1."/>
      <w:lvlJc w:val="left"/>
      <w:pPr>
        <w:tabs>
          <w:tab w:val="num" w:pos="425"/>
        </w:tabs>
        <w:ind w:left="425" w:hanging="425"/>
      </w:pPr>
      <w:rPr>
        <w:rFonts w:hint="default"/>
      </w:rPr>
    </w:lvl>
    <w:lvl w:ilvl="1">
      <w:start w:val="1"/>
      <w:numFmt w:val="lowerLetter"/>
      <w:pStyle w:val="Numberlist2"/>
      <w:lvlText w:val="%2."/>
      <w:lvlJc w:val="left"/>
      <w:pPr>
        <w:tabs>
          <w:tab w:val="num" w:pos="709"/>
        </w:tabs>
        <w:ind w:left="709" w:hanging="284"/>
      </w:pPr>
      <w:rPr>
        <w:rFonts w:hint="default"/>
      </w:rPr>
    </w:lvl>
    <w:lvl w:ilvl="2">
      <w:start w:val="1"/>
      <w:numFmt w:val="lowerRoman"/>
      <w:lvlText w:val="%3."/>
      <w:lvlJc w:val="left"/>
      <w:pPr>
        <w:tabs>
          <w:tab w:val="num" w:pos="720"/>
        </w:tabs>
        <w:ind w:left="720" w:hanging="11"/>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0" w15:restartNumberingAfterBreak="0">
    <w:nsid w:val="075A4425"/>
    <w:multiLevelType w:val="multilevel"/>
    <w:tmpl w:val="A13043BA"/>
    <w:name w:val="MJA"/>
    <w:lvl w:ilvl="0">
      <w:start w:val="1"/>
      <w:numFmt w:val="decimal"/>
      <w:pStyle w:val="MJAheading1"/>
      <w:lvlText w:val="%1."/>
      <w:lvlJc w:val="left"/>
      <w:pPr>
        <w:ind w:left="709" w:hanging="709"/>
      </w:pPr>
      <w:rPr>
        <w:rFonts w:hint="default"/>
      </w:rPr>
    </w:lvl>
    <w:lvl w:ilvl="1">
      <w:start w:val="1"/>
      <w:numFmt w:val="decimal"/>
      <w:pStyle w:val="MJAheading2"/>
      <w:lvlText w:val="%1.%2"/>
      <w:lvlJc w:val="left"/>
      <w:pPr>
        <w:ind w:left="709" w:hanging="709"/>
      </w:pPr>
      <w:rPr>
        <w:rFonts w:hint="default"/>
      </w:rPr>
    </w:lvl>
    <w:lvl w:ilvl="2">
      <w:start w:val="1"/>
      <w:numFmt w:val="decimal"/>
      <w:pStyle w:val="MJAheading3"/>
      <w:lvlText w:val="%1.%2.%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11" w15:restartNumberingAfterBreak="0">
    <w:nsid w:val="177C2C5E"/>
    <w:multiLevelType w:val="hybridMultilevel"/>
    <w:tmpl w:val="95CC5A54"/>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2" w15:restartNumberingAfterBreak="0">
    <w:nsid w:val="1A4A47BE"/>
    <w:multiLevelType w:val="hybridMultilevel"/>
    <w:tmpl w:val="25128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9B20CF"/>
    <w:multiLevelType w:val="hybridMultilevel"/>
    <w:tmpl w:val="AC4ED874"/>
    <w:lvl w:ilvl="0" w:tplc="228828D4">
      <w:start w:val="1"/>
      <w:numFmt w:val="decimal"/>
      <w:pStyle w:val="MJAESnormal"/>
      <w:lvlText w:val="ES.%1."/>
      <w:lvlJc w:val="left"/>
      <w:pPr>
        <w:ind w:left="360" w:hanging="360"/>
      </w:pPr>
      <w:rPr>
        <w:rFonts w:ascii="Times New Roman" w:hAnsi="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697901"/>
    <w:multiLevelType w:val="multilevel"/>
    <w:tmpl w:val="8A5451EC"/>
    <w:lvl w:ilvl="0">
      <w:start w:val="1"/>
      <w:numFmt w:val="decimal"/>
      <w:pStyle w:val="Heading1"/>
      <w:lvlText w:val="%1"/>
      <w:lvlJc w:val="left"/>
      <w:pPr>
        <w:tabs>
          <w:tab w:val="num" w:pos="567"/>
        </w:tabs>
        <w:ind w:left="0" w:firstLine="0"/>
      </w:pPr>
      <w:rPr>
        <w:rFonts w:hint="default"/>
      </w:rPr>
    </w:lvl>
    <w:lvl w:ilvl="1">
      <w:start w:val="1"/>
      <w:numFmt w:val="decimal"/>
      <w:pStyle w:val="Heading2"/>
      <w:lvlText w:val="%1.%2"/>
      <w:lvlJc w:val="left"/>
      <w:pPr>
        <w:tabs>
          <w:tab w:val="num" w:pos="1024"/>
        </w:tabs>
        <w:ind w:left="284" w:hanging="340"/>
      </w:pPr>
      <w:rPr>
        <w:rFonts w:hint="default"/>
      </w:rPr>
    </w:lvl>
    <w:lvl w:ilvl="2">
      <w:start w:val="1"/>
      <w:numFmt w:val="decimal"/>
      <w:lvlText w:val="%1.%2.%3"/>
      <w:lvlJc w:val="left"/>
      <w:pPr>
        <w:tabs>
          <w:tab w:val="num" w:pos="1384"/>
        </w:tabs>
        <w:ind w:left="284" w:hanging="340"/>
      </w:pPr>
      <w:rPr>
        <w:rFonts w:hint="default"/>
      </w:rPr>
    </w:lvl>
    <w:lvl w:ilvl="3">
      <w:start w:val="1"/>
      <w:numFmt w:val="decimal"/>
      <w:lvlText w:val="%1.%2.%3.%4"/>
      <w:lvlJc w:val="left"/>
      <w:pPr>
        <w:tabs>
          <w:tab w:val="num" w:pos="1744"/>
        </w:tabs>
        <w:ind w:left="284" w:hanging="340"/>
      </w:pPr>
      <w:rPr>
        <w:rFonts w:hint="default"/>
      </w:rPr>
    </w:lvl>
    <w:lvl w:ilvl="4">
      <w:start w:val="1"/>
      <w:numFmt w:val="decimal"/>
      <w:pStyle w:val="Heading5"/>
      <w:lvlText w:val="%1.%2.%3.%4.%5"/>
      <w:lvlJc w:val="left"/>
      <w:pPr>
        <w:tabs>
          <w:tab w:val="num" w:pos="952"/>
        </w:tabs>
        <w:ind w:left="952" w:hanging="1008"/>
      </w:pPr>
      <w:rPr>
        <w:rFonts w:hint="default"/>
      </w:rPr>
    </w:lvl>
    <w:lvl w:ilvl="5">
      <w:start w:val="1"/>
      <w:numFmt w:val="decimal"/>
      <w:pStyle w:val="Heading6"/>
      <w:lvlText w:val="%1.%2.%3.%4.%5.%6"/>
      <w:lvlJc w:val="left"/>
      <w:pPr>
        <w:tabs>
          <w:tab w:val="num" w:pos="1096"/>
        </w:tabs>
        <w:ind w:left="1096" w:hanging="1152"/>
      </w:pPr>
      <w:rPr>
        <w:rFonts w:hint="default"/>
      </w:rPr>
    </w:lvl>
    <w:lvl w:ilvl="6">
      <w:start w:val="1"/>
      <w:numFmt w:val="decimal"/>
      <w:pStyle w:val="Heading7"/>
      <w:lvlText w:val="%1.%2.%3.%4.%5.%6.%7"/>
      <w:lvlJc w:val="left"/>
      <w:pPr>
        <w:tabs>
          <w:tab w:val="num" w:pos="1240"/>
        </w:tabs>
        <w:ind w:left="1240" w:hanging="1296"/>
      </w:pPr>
      <w:rPr>
        <w:rFonts w:hint="default"/>
      </w:rPr>
    </w:lvl>
    <w:lvl w:ilvl="7">
      <w:start w:val="1"/>
      <w:numFmt w:val="decimal"/>
      <w:pStyle w:val="Heading8"/>
      <w:lvlText w:val="%1.%2.%3.%4.%5.%6.%7.%8"/>
      <w:lvlJc w:val="left"/>
      <w:pPr>
        <w:tabs>
          <w:tab w:val="num" w:pos="1384"/>
        </w:tabs>
        <w:ind w:left="1384" w:hanging="1440"/>
      </w:pPr>
      <w:rPr>
        <w:rFonts w:hint="default"/>
      </w:rPr>
    </w:lvl>
    <w:lvl w:ilvl="8">
      <w:start w:val="1"/>
      <w:numFmt w:val="decimal"/>
      <w:pStyle w:val="Heading9"/>
      <w:lvlText w:val="%1.%2.%3.%4.%5.%6.%7.%8.%9"/>
      <w:lvlJc w:val="left"/>
      <w:pPr>
        <w:tabs>
          <w:tab w:val="num" w:pos="1528"/>
        </w:tabs>
        <w:ind w:left="1528" w:hanging="1584"/>
      </w:pPr>
      <w:rPr>
        <w:rFonts w:hint="default"/>
      </w:rPr>
    </w:lvl>
  </w:abstractNum>
  <w:abstractNum w:abstractNumId="15" w15:restartNumberingAfterBreak="0">
    <w:nsid w:val="24841331"/>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B5A4F77"/>
    <w:multiLevelType w:val="hybridMultilevel"/>
    <w:tmpl w:val="8A0EAA6E"/>
    <w:lvl w:ilvl="0" w:tplc="2B4099CA">
      <w:start w:val="1"/>
      <w:numFmt w:val="bullet"/>
      <w:pStyle w:val="MJAdashbullet"/>
      <w:lvlText w:val=""/>
      <w:lvlJc w:val="left"/>
      <w:pPr>
        <w:ind w:left="720" w:hanging="360"/>
      </w:pPr>
      <w:rPr>
        <w:rFonts w:ascii="Symbol" w:hAnsi="Symbol" w:hint="default"/>
        <w:color w:val="0093D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8F41C0"/>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CA20729"/>
    <w:multiLevelType w:val="hybridMultilevel"/>
    <w:tmpl w:val="D9342D24"/>
    <w:lvl w:ilvl="0" w:tplc="FFFFFFFF">
      <w:start w:val="1"/>
      <w:numFmt w:val="bullet"/>
      <w:pStyle w:val="Bullet2"/>
      <w:lvlText w:val="–"/>
      <w:lvlJc w:val="left"/>
      <w:pPr>
        <w:tabs>
          <w:tab w:val="num" w:pos="644"/>
        </w:tabs>
        <w:ind w:left="567" w:hanging="283"/>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F94EB5"/>
    <w:multiLevelType w:val="hybridMultilevel"/>
    <w:tmpl w:val="512C7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CC0C1B"/>
    <w:multiLevelType w:val="multilevel"/>
    <w:tmpl w:val="85A48F1C"/>
    <w:lvl w:ilvl="0">
      <w:start w:val="1"/>
      <w:numFmt w:val="bullet"/>
      <w:pStyle w:val="Dotpointlist"/>
      <w:lvlText w:val=""/>
      <w:lvlJc w:val="left"/>
      <w:pPr>
        <w:ind w:left="357" w:hanging="357"/>
      </w:pPr>
      <w:rPr>
        <w:rFonts w:ascii="Symbol" w:hAnsi="Symbol" w:hint="default"/>
      </w:rPr>
    </w:lvl>
    <w:lvl w:ilvl="1">
      <w:start w:val="1"/>
      <w:numFmt w:val="bullet"/>
      <w:pStyle w:val="Dotpointsub-list"/>
      <w:lvlText w:val="○"/>
      <w:lvlJc w:val="left"/>
      <w:pPr>
        <w:ind w:left="720" w:hanging="357"/>
      </w:pPr>
      <w:rPr>
        <w:rFonts w:ascii="Courier New" w:hAnsi="Courier New" w:hint="default"/>
        <w:sz w:val="18"/>
      </w:rPr>
    </w:lvl>
    <w:lvl w:ilvl="2">
      <w:start w:val="1"/>
      <w:numFmt w:val="bullet"/>
      <w:lvlText w:val="–"/>
      <w:lvlJc w:val="left"/>
      <w:pPr>
        <w:ind w:left="1083" w:hanging="357"/>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C2F78FF"/>
    <w:multiLevelType w:val="hybridMultilevel"/>
    <w:tmpl w:val="FA96CFFA"/>
    <w:lvl w:ilvl="0" w:tplc="3A321A8E">
      <w:start w:val="1"/>
      <w:numFmt w:val="bullet"/>
      <w:pStyle w:val="ListBullet2"/>
      <w:lvlText w:val=""/>
      <w:lvlJc w:val="left"/>
      <w:pPr>
        <w:tabs>
          <w:tab w:val="num" w:pos="1560"/>
        </w:tabs>
        <w:ind w:left="1560" w:hanging="360"/>
      </w:pPr>
      <w:rPr>
        <w:rFonts w:ascii="Symbol" w:hAnsi="Symbol" w:hint="default"/>
      </w:rPr>
    </w:lvl>
    <w:lvl w:ilvl="1" w:tplc="0C090003" w:tentative="1">
      <w:start w:val="1"/>
      <w:numFmt w:val="bullet"/>
      <w:lvlText w:val="o"/>
      <w:lvlJc w:val="left"/>
      <w:pPr>
        <w:tabs>
          <w:tab w:val="num" w:pos="2237"/>
        </w:tabs>
        <w:ind w:left="2237" w:hanging="360"/>
      </w:pPr>
      <w:rPr>
        <w:rFonts w:ascii="Courier New" w:hAnsi="Courier New" w:cs="Courier New" w:hint="default"/>
      </w:rPr>
    </w:lvl>
    <w:lvl w:ilvl="2" w:tplc="0C090005" w:tentative="1">
      <w:start w:val="1"/>
      <w:numFmt w:val="bullet"/>
      <w:lvlText w:val=""/>
      <w:lvlJc w:val="left"/>
      <w:pPr>
        <w:tabs>
          <w:tab w:val="num" w:pos="2957"/>
        </w:tabs>
        <w:ind w:left="2957" w:hanging="360"/>
      </w:pPr>
      <w:rPr>
        <w:rFonts w:ascii="Wingdings" w:hAnsi="Wingdings" w:hint="default"/>
      </w:rPr>
    </w:lvl>
    <w:lvl w:ilvl="3" w:tplc="0C090001" w:tentative="1">
      <w:start w:val="1"/>
      <w:numFmt w:val="bullet"/>
      <w:lvlText w:val=""/>
      <w:lvlJc w:val="left"/>
      <w:pPr>
        <w:tabs>
          <w:tab w:val="num" w:pos="3677"/>
        </w:tabs>
        <w:ind w:left="3677" w:hanging="360"/>
      </w:pPr>
      <w:rPr>
        <w:rFonts w:ascii="Symbol" w:hAnsi="Symbol" w:hint="default"/>
      </w:rPr>
    </w:lvl>
    <w:lvl w:ilvl="4" w:tplc="0C090003" w:tentative="1">
      <w:start w:val="1"/>
      <w:numFmt w:val="bullet"/>
      <w:lvlText w:val="o"/>
      <w:lvlJc w:val="left"/>
      <w:pPr>
        <w:tabs>
          <w:tab w:val="num" w:pos="4397"/>
        </w:tabs>
        <w:ind w:left="4397" w:hanging="360"/>
      </w:pPr>
      <w:rPr>
        <w:rFonts w:ascii="Courier New" w:hAnsi="Courier New" w:cs="Courier New" w:hint="default"/>
      </w:rPr>
    </w:lvl>
    <w:lvl w:ilvl="5" w:tplc="0C090005" w:tentative="1">
      <w:start w:val="1"/>
      <w:numFmt w:val="bullet"/>
      <w:lvlText w:val=""/>
      <w:lvlJc w:val="left"/>
      <w:pPr>
        <w:tabs>
          <w:tab w:val="num" w:pos="5117"/>
        </w:tabs>
        <w:ind w:left="5117" w:hanging="360"/>
      </w:pPr>
      <w:rPr>
        <w:rFonts w:ascii="Wingdings" w:hAnsi="Wingdings" w:hint="default"/>
      </w:rPr>
    </w:lvl>
    <w:lvl w:ilvl="6" w:tplc="0C090001" w:tentative="1">
      <w:start w:val="1"/>
      <w:numFmt w:val="bullet"/>
      <w:lvlText w:val=""/>
      <w:lvlJc w:val="left"/>
      <w:pPr>
        <w:tabs>
          <w:tab w:val="num" w:pos="5837"/>
        </w:tabs>
        <w:ind w:left="5837" w:hanging="360"/>
      </w:pPr>
      <w:rPr>
        <w:rFonts w:ascii="Symbol" w:hAnsi="Symbol" w:hint="default"/>
      </w:rPr>
    </w:lvl>
    <w:lvl w:ilvl="7" w:tplc="0C090003" w:tentative="1">
      <w:start w:val="1"/>
      <w:numFmt w:val="bullet"/>
      <w:lvlText w:val="o"/>
      <w:lvlJc w:val="left"/>
      <w:pPr>
        <w:tabs>
          <w:tab w:val="num" w:pos="6557"/>
        </w:tabs>
        <w:ind w:left="6557" w:hanging="360"/>
      </w:pPr>
      <w:rPr>
        <w:rFonts w:ascii="Courier New" w:hAnsi="Courier New" w:cs="Courier New" w:hint="default"/>
      </w:rPr>
    </w:lvl>
    <w:lvl w:ilvl="8" w:tplc="0C090005" w:tentative="1">
      <w:start w:val="1"/>
      <w:numFmt w:val="bullet"/>
      <w:lvlText w:val=""/>
      <w:lvlJc w:val="left"/>
      <w:pPr>
        <w:tabs>
          <w:tab w:val="num" w:pos="7277"/>
        </w:tabs>
        <w:ind w:left="7277" w:hanging="360"/>
      </w:pPr>
      <w:rPr>
        <w:rFonts w:ascii="Wingdings" w:hAnsi="Wingdings" w:hint="default"/>
      </w:rPr>
    </w:lvl>
  </w:abstractNum>
  <w:abstractNum w:abstractNumId="22" w15:restartNumberingAfterBreak="0">
    <w:nsid w:val="4EBD5FB9"/>
    <w:multiLevelType w:val="hybridMultilevel"/>
    <w:tmpl w:val="61C683D2"/>
    <w:lvl w:ilvl="0" w:tplc="F4CA846A">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3" w15:restartNumberingAfterBreak="0">
    <w:nsid w:val="50FE7256"/>
    <w:multiLevelType w:val="hybridMultilevel"/>
    <w:tmpl w:val="28C0923C"/>
    <w:lvl w:ilvl="0" w:tplc="4D1A6A90">
      <w:start w:val="1"/>
      <w:numFmt w:val="bullet"/>
      <w:lvlText w:val=""/>
      <w:lvlJc w:val="left"/>
      <w:pPr>
        <w:ind w:left="720" w:hanging="360"/>
      </w:pPr>
      <w:rPr>
        <w:rFonts w:ascii="Symbol" w:hAnsi="Symbol" w:hint="default"/>
      </w:rPr>
    </w:lvl>
    <w:lvl w:ilvl="1" w:tplc="4D1A6A90">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1C5572"/>
    <w:multiLevelType w:val="multilevel"/>
    <w:tmpl w:val="24622472"/>
    <w:lvl w:ilvl="0">
      <w:start w:val="1"/>
      <w:numFmt w:val="bullet"/>
      <w:lvlText w:val="•"/>
      <w:lvlJc w:val="left"/>
      <w:pPr>
        <w:tabs>
          <w:tab w:val="num" w:pos="284"/>
        </w:tabs>
        <w:ind w:left="284" w:hanging="284"/>
      </w:pPr>
      <w:rPr>
        <w:rFonts w:ascii="Arial" w:hAnsi="Arial" w:hint="default"/>
        <w:b/>
        <w:bCs/>
        <w:i w:val="0"/>
        <w:iCs w:val="0"/>
        <w:caps w:val="0"/>
        <w:strike w:val="0"/>
        <w:dstrike w:val="0"/>
        <w:vanish w:val="0"/>
        <w:color w:val="5793C9"/>
        <w:sz w:val="22"/>
        <w:szCs w:val="22"/>
        <w:vertAlign w:val="baseline"/>
      </w:rPr>
    </w:lvl>
    <w:lvl w:ilvl="1">
      <w:start w:val="1"/>
      <w:numFmt w:val="bullet"/>
      <w:lvlText w:val="•"/>
      <w:lvlJc w:val="left"/>
      <w:pPr>
        <w:tabs>
          <w:tab w:val="num" w:pos="567"/>
        </w:tabs>
        <w:ind w:left="567" w:hanging="283"/>
      </w:pPr>
      <w:rPr>
        <w:rFonts w:ascii="Arial" w:hAnsi="Arial" w:hint="default"/>
        <w:b/>
        <w:bCs/>
        <w:i w:val="0"/>
        <w:iCs w:val="0"/>
        <w:color w:val="003366"/>
        <w:sz w:val="22"/>
        <w:szCs w:val="22"/>
      </w:rPr>
    </w:lvl>
    <w:lvl w:ilvl="2">
      <w:start w:val="1"/>
      <w:numFmt w:val="bullet"/>
      <w:pStyle w:val="Bullets3rdindent"/>
      <w:lvlText w:val="•"/>
      <w:lvlJc w:val="left"/>
      <w:pPr>
        <w:tabs>
          <w:tab w:val="num" w:pos="851"/>
        </w:tabs>
        <w:ind w:left="851" w:hanging="284"/>
      </w:pPr>
      <w:rPr>
        <w:rFonts w:ascii="Arial" w:hAnsi="Arial" w:hint="default"/>
        <w:b/>
        <w:bCs/>
        <w:i w:val="0"/>
        <w:iCs w:val="0"/>
        <w:color w:val="CCBEB6"/>
        <w:sz w:val="22"/>
        <w:szCs w:val="22"/>
      </w:rPr>
    </w:lvl>
    <w:lvl w:ilvl="3">
      <w:start w:val="1"/>
      <w:numFmt w:val="bullet"/>
      <w:lvlRestart w:val="0"/>
      <w:lvlText w:val="•"/>
      <w:lvlJc w:val="left"/>
      <w:pPr>
        <w:tabs>
          <w:tab w:val="num" w:pos="227"/>
        </w:tabs>
        <w:ind w:left="227" w:hanging="227"/>
      </w:pPr>
      <w:rPr>
        <w:rFonts w:ascii="Arial" w:hAnsi="Arial" w:hint="default"/>
        <w:b/>
        <w:bCs/>
        <w:i w:val="0"/>
        <w:iCs w:val="0"/>
        <w:caps w:val="0"/>
        <w:strike w:val="0"/>
        <w:dstrike w:val="0"/>
        <w:vanish w:val="0"/>
        <w:color w:val="5793C9"/>
        <w:sz w:val="22"/>
        <w:szCs w:val="22"/>
        <w:vertAlign w:val="baseline"/>
      </w:rPr>
    </w:lvl>
    <w:lvl w:ilvl="4">
      <w:start w:val="1"/>
      <w:numFmt w:val="bullet"/>
      <w:pStyle w:val="Tablebullets2ndindent"/>
      <w:lvlText w:val="•"/>
      <w:lvlJc w:val="left"/>
      <w:pPr>
        <w:tabs>
          <w:tab w:val="num" w:pos="454"/>
        </w:tabs>
        <w:ind w:left="454" w:hanging="227"/>
      </w:pPr>
      <w:rPr>
        <w:rFonts w:ascii="Arial Bold" w:hAnsi="Arial Bold" w:hint="default"/>
        <w:b/>
        <w:bCs/>
        <w:i w:val="0"/>
        <w:iCs w:val="0"/>
        <w:color w:val="003366"/>
        <w:sz w:val="22"/>
        <w:szCs w:val="22"/>
      </w:rPr>
    </w:lvl>
    <w:lvl w:ilvl="5">
      <w:start w:val="1"/>
      <w:numFmt w:val="bullet"/>
      <w:pStyle w:val="Tablebullets3rdindent"/>
      <w:lvlText w:val="•"/>
      <w:lvlJc w:val="left"/>
      <w:pPr>
        <w:tabs>
          <w:tab w:val="num" w:pos="680"/>
        </w:tabs>
        <w:ind w:left="680" w:hanging="226"/>
      </w:pPr>
      <w:rPr>
        <w:rFonts w:ascii="Arial" w:hAnsi="Arial" w:hint="default"/>
        <w:b/>
        <w:bCs/>
        <w:i w:val="0"/>
        <w:iCs w:val="0"/>
        <w:color w:val="CCBEB6"/>
        <w:sz w:val="22"/>
        <w:szCs w:val="22"/>
      </w:rPr>
    </w:lvl>
    <w:lvl w:ilvl="6">
      <w:start w:val="1"/>
      <w:numFmt w:val="decimal"/>
      <w:lvlRestart w:val="0"/>
      <w:lvlText w:val="%7"/>
      <w:lvlJc w:val="left"/>
      <w:pPr>
        <w:tabs>
          <w:tab w:val="num" w:pos="567"/>
        </w:tabs>
        <w:ind w:left="567" w:hanging="567"/>
      </w:pPr>
      <w:rPr>
        <w:rFonts w:ascii="Arial" w:hAnsi="Arial" w:hint="default"/>
        <w:b w:val="0"/>
        <w:bCs w:val="0"/>
        <w:i w:val="0"/>
        <w:iCs w:val="0"/>
        <w:color w:val="5793C9"/>
        <w:sz w:val="36"/>
        <w:szCs w:val="36"/>
      </w:rPr>
    </w:lvl>
    <w:lvl w:ilvl="7">
      <w:start w:val="1"/>
      <w:numFmt w:val="decimal"/>
      <w:lvlRestart w:val="0"/>
      <w:lvlText w:val="Figure %8"/>
      <w:lvlJc w:val="left"/>
      <w:pPr>
        <w:tabs>
          <w:tab w:val="num" w:pos="1134"/>
        </w:tabs>
        <w:ind w:left="1134" w:hanging="1134"/>
      </w:pPr>
      <w:rPr>
        <w:rFonts w:ascii="Arial" w:hAnsi="Arial" w:hint="default"/>
        <w:b/>
        <w:i w:val="0"/>
        <w:sz w:val="20"/>
      </w:rPr>
    </w:lvl>
    <w:lvl w:ilvl="8">
      <w:start w:val="1"/>
      <w:numFmt w:val="decimal"/>
      <w:lvlRestart w:val="0"/>
      <w:lvlText w:val="Table %9"/>
      <w:lvlJc w:val="left"/>
      <w:pPr>
        <w:tabs>
          <w:tab w:val="num" w:pos="1134"/>
        </w:tabs>
        <w:ind w:left="1134" w:hanging="1134"/>
      </w:pPr>
      <w:rPr>
        <w:rFonts w:ascii="Arial" w:hAnsi="Arial" w:hint="default"/>
        <w:b/>
        <w:i w:val="0"/>
        <w:sz w:val="20"/>
      </w:rPr>
    </w:lvl>
  </w:abstractNum>
  <w:abstractNum w:abstractNumId="25" w15:restartNumberingAfterBreak="0">
    <w:nsid w:val="58F91ACC"/>
    <w:multiLevelType w:val="multilevel"/>
    <w:tmpl w:val="0409001D"/>
    <w:styleLink w:val="NEWMJAListStyle"/>
    <w:lvl w:ilvl="0">
      <w:start w:val="1"/>
      <w:numFmt w:val="bullet"/>
      <w:lvlText w:val=""/>
      <w:lvlJc w:val="left"/>
      <w:pPr>
        <w:ind w:left="360" w:hanging="360"/>
      </w:pPr>
      <w:rPr>
        <w:rFonts w:asciiTheme="minorHAnsi" w:hAnsiTheme="minorHAnsi" w:hint="default"/>
      </w:rPr>
    </w:lvl>
    <w:lvl w:ilvl="1">
      <w:start w:val="1"/>
      <w:numFmt w:val="bullet"/>
      <w:lvlText w:val=""/>
      <w:lvlJc w:val="left"/>
      <w:pPr>
        <w:ind w:left="720" w:hanging="360"/>
      </w:pPr>
      <w:rPr>
        <w:rFonts w:asciiTheme="minorHAnsi" w:hAnsiTheme="minorHAnsi" w:hint="default"/>
      </w:rPr>
    </w:lvl>
    <w:lvl w:ilvl="2">
      <w:start w:val="1"/>
      <w:numFmt w:val="bullet"/>
      <w:lvlText w:val=""/>
      <w:lvlJc w:val="left"/>
      <w:pPr>
        <w:ind w:left="1080" w:hanging="360"/>
      </w:pPr>
      <w:rPr>
        <w:rFonts w:asciiTheme="minorHAnsi" w:hAnsiTheme="minorHAnsi"/>
      </w:rPr>
    </w:lvl>
    <w:lvl w:ilvl="3">
      <w:start w:val="1"/>
      <w:numFmt w:val="bullet"/>
      <w:lvlText w:val=""/>
      <w:lvlJc w:val="left"/>
      <w:pPr>
        <w:ind w:left="1440" w:hanging="360"/>
      </w:pPr>
      <w:rPr>
        <w:rFonts w:asciiTheme="minorHAnsi" w:hAnsiTheme="minorHAns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DFD78C8"/>
    <w:multiLevelType w:val="multilevel"/>
    <w:tmpl w:val="E4C4B1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3BD225C"/>
    <w:multiLevelType w:val="hybridMultilevel"/>
    <w:tmpl w:val="AD6C8A38"/>
    <w:lvl w:ilvl="0" w:tplc="42C880E2">
      <w:start w:val="1"/>
      <w:numFmt w:val="bullet"/>
      <w:pStyle w:val="Tablebullets1stinden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3429DA"/>
    <w:multiLevelType w:val="hybridMultilevel"/>
    <w:tmpl w:val="1F02DE40"/>
    <w:lvl w:ilvl="0" w:tplc="0C090001">
      <w:start w:val="1"/>
      <w:numFmt w:val="bullet"/>
      <w:lvlText w:val=""/>
      <w:lvlJc w:val="left"/>
      <w:pPr>
        <w:ind w:left="720" w:hanging="360"/>
      </w:pPr>
      <w:rPr>
        <w:rFonts w:ascii="Symbol" w:hAnsi="Symbol" w:hint="default"/>
      </w:rPr>
    </w:lvl>
    <w:lvl w:ilvl="1" w:tplc="E7A06AB0">
      <w:start w:val="1"/>
      <w:numFmt w:val="bullet"/>
      <w:pStyle w:val="Bullets2ndinden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D255AE"/>
    <w:multiLevelType w:val="hybridMultilevel"/>
    <w:tmpl w:val="985C6C1C"/>
    <w:lvl w:ilvl="0" w:tplc="D9DC7E5E">
      <w:start w:val="1"/>
      <w:numFmt w:val="bullet"/>
      <w:pStyle w:val="Bullets1stinden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7"/>
  </w:num>
  <w:num w:numId="11">
    <w:abstractNumId w:val="15"/>
  </w:num>
  <w:num w:numId="12">
    <w:abstractNumId w:val="21"/>
  </w:num>
  <w:num w:numId="13">
    <w:abstractNumId w:val="18"/>
  </w:num>
  <w:num w:numId="14">
    <w:abstractNumId w:val="24"/>
  </w:num>
  <w:num w:numId="15">
    <w:abstractNumId w:val="20"/>
  </w:num>
  <w:num w:numId="16">
    <w:abstractNumId w:val="9"/>
  </w:num>
  <w:num w:numId="17">
    <w:abstractNumId w:val="29"/>
  </w:num>
  <w:num w:numId="18">
    <w:abstractNumId w:val="10"/>
  </w:num>
  <w:num w:numId="19">
    <w:abstractNumId w:val="25"/>
  </w:num>
  <w:num w:numId="20">
    <w:abstractNumId w:val="8"/>
  </w:num>
  <w:num w:numId="21">
    <w:abstractNumId w:val="13"/>
  </w:num>
  <w:num w:numId="22">
    <w:abstractNumId w:val="16"/>
  </w:num>
  <w:num w:numId="23">
    <w:abstractNumId w:val="28"/>
  </w:num>
  <w:num w:numId="24">
    <w:abstractNumId w:val="23"/>
  </w:num>
  <w:num w:numId="25">
    <w:abstractNumId w:val="12"/>
  </w:num>
  <w:num w:numId="26">
    <w:abstractNumId w:val="27"/>
  </w:num>
  <w:num w:numId="27">
    <w:abstractNumId w:val="11"/>
  </w:num>
  <w:num w:numId="28">
    <w:abstractNumId w:val="19"/>
  </w:num>
  <w:num w:numId="29">
    <w:abstractNumId w:val="22"/>
  </w:num>
  <w:num w:numId="30">
    <w:abstractNumId w:val="26"/>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7BD"/>
    <w:rsid w:val="00017440"/>
    <w:rsid w:val="00022915"/>
    <w:rsid w:val="00067EA7"/>
    <w:rsid w:val="000D0E22"/>
    <w:rsid w:val="000D60A9"/>
    <w:rsid w:val="00124A11"/>
    <w:rsid w:val="0013767C"/>
    <w:rsid w:val="00176597"/>
    <w:rsid w:val="001B67BD"/>
    <w:rsid w:val="001D0C7D"/>
    <w:rsid w:val="001F12B4"/>
    <w:rsid w:val="00262150"/>
    <w:rsid w:val="002B5124"/>
    <w:rsid w:val="002E3895"/>
    <w:rsid w:val="00303137"/>
    <w:rsid w:val="00366EF0"/>
    <w:rsid w:val="0043320A"/>
    <w:rsid w:val="00435B2B"/>
    <w:rsid w:val="004F1322"/>
    <w:rsid w:val="00501DF2"/>
    <w:rsid w:val="00514F15"/>
    <w:rsid w:val="00547F8D"/>
    <w:rsid w:val="005A192C"/>
    <w:rsid w:val="005E45F8"/>
    <w:rsid w:val="00624BAF"/>
    <w:rsid w:val="006472E0"/>
    <w:rsid w:val="00651357"/>
    <w:rsid w:val="006745C3"/>
    <w:rsid w:val="00691912"/>
    <w:rsid w:val="006A28E3"/>
    <w:rsid w:val="00706436"/>
    <w:rsid w:val="0072540E"/>
    <w:rsid w:val="007C19F5"/>
    <w:rsid w:val="007F1B03"/>
    <w:rsid w:val="0080330E"/>
    <w:rsid w:val="00831162"/>
    <w:rsid w:val="0085070F"/>
    <w:rsid w:val="00882263"/>
    <w:rsid w:val="008F56FA"/>
    <w:rsid w:val="009068A8"/>
    <w:rsid w:val="00921681"/>
    <w:rsid w:val="00972795"/>
    <w:rsid w:val="009821B9"/>
    <w:rsid w:val="009A6DF2"/>
    <w:rsid w:val="009E5EED"/>
    <w:rsid w:val="009E7BE3"/>
    <w:rsid w:val="009F6E14"/>
    <w:rsid w:val="00A558D1"/>
    <w:rsid w:val="00A77E5E"/>
    <w:rsid w:val="00AB29C8"/>
    <w:rsid w:val="00B75009"/>
    <w:rsid w:val="00C02AE7"/>
    <w:rsid w:val="00C362E9"/>
    <w:rsid w:val="00C50700"/>
    <w:rsid w:val="00C53AB1"/>
    <w:rsid w:val="00CE2ACE"/>
    <w:rsid w:val="00CF34D3"/>
    <w:rsid w:val="00D136AC"/>
    <w:rsid w:val="00D27D47"/>
    <w:rsid w:val="00D37EA5"/>
    <w:rsid w:val="00D45DFF"/>
    <w:rsid w:val="00D5060F"/>
    <w:rsid w:val="00DD1894"/>
    <w:rsid w:val="00DF78AE"/>
    <w:rsid w:val="00E638BF"/>
    <w:rsid w:val="00E8360D"/>
    <w:rsid w:val="00F05F4B"/>
    <w:rsid w:val="00F403F3"/>
    <w:rsid w:val="00F63233"/>
    <w:rsid w:val="00FA1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94148AB"/>
  <w15:docId w15:val="{A67DCEC1-9A43-4AF4-8AD9-D5996119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iPriority="99"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Heading2"/>
    <w:link w:val="Heading1Char"/>
    <w:uiPriority w:val="9"/>
    <w:qFormat/>
    <w:rsid w:val="00022915"/>
    <w:pPr>
      <w:keepNext/>
      <w:pageBreakBefore/>
      <w:numPr>
        <w:numId w:val="1"/>
      </w:numPr>
      <w:tabs>
        <w:tab w:val="clear" w:pos="567"/>
        <w:tab w:val="num" w:pos="851"/>
      </w:tabs>
      <w:spacing w:before="120" w:after="120" w:line="240" w:lineRule="auto"/>
      <w:ind w:left="851" w:hanging="851"/>
      <w:outlineLvl w:val="0"/>
    </w:pPr>
    <w:rPr>
      <w:rFonts w:ascii="Trebuchet MS" w:eastAsia="Times New Roman" w:hAnsi="Trebuchet MS" w:cs="Arial"/>
      <w:bCs/>
      <w:spacing w:val="26"/>
      <w:kern w:val="28"/>
      <w:sz w:val="40"/>
      <w:szCs w:val="32"/>
    </w:rPr>
  </w:style>
  <w:style w:type="paragraph" w:styleId="Heading2">
    <w:name w:val="heading 2"/>
    <w:next w:val="Normal"/>
    <w:link w:val="Heading2Char"/>
    <w:qFormat/>
    <w:rsid w:val="00022915"/>
    <w:pPr>
      <w:keepNext/>
      <w:numPr>
        <w:ilvl w:val="1"/>
        <w:numId w:val="1"/>
      </w:numPr>
      <w:tabs>
        <w:tab w:val="left" w:pos="851"/>
      </w:tabs>
      <w:spacing w:before="240" w:after="120" w:line="240" w:lineRule="auto"/>
      <w:ind w:left="851" w:hanging="851"/>
      <w:outlineLvl w:val="1"/>
    </w:pPr>
    <w:rPr>
      <w:rFonts w:ascii="Trebuchet MS" w:eastAsia="Times New Roman" w:hAnsi="Trebuchet MS" w:cs="Arial"/>
      <w:bCs/>
      <w:iCs/>
      <w:spacing w:val="20"/>
      <w:sz w:val="32"/>
      <w:szCs w:val="28"/>
    </w:rPr>
  </w:style>
  <w:style w:type="paragraph" w:styleId="Heading3">
    <w:name w:val="heading 3"/>
    <w:next w:val="Normal"/>
    <w:link w:val="Heading3Char"/>
    <w:qFormat/>
    <w:rsid w:val="00022915"/>
    <w:pPr>
      <w:keepNext/>
      <w:tabs>
        <w:tab w:val="left" w:pos="851"/>
      </w:tabs>
      <w:spacing w:before="240" w:after="0" w:line="300" w:lineRule="auto"/>
      <w:outlineLvl w:val="2"/>
    </w:pPr>
    <w:rPr>
      <w:rFonts w:ascii="Trebuchet MS" w:eastAsia="Times New Roman" w:hAnsi="Trebuchet MS" w:cs="Arial"/>
      <w:b/>
      <w:bCs/>
      <w:sz w:val="24"/>
      <w:szCs w:val="26"/>
    </w:rPr>
  </w:style>
  <w:style w:type="paragraph" w:styleId="Heading4">
    <w:name w:val="heading 4"/>
    <w:next w:val="Normal"/>
    <w:link w:val="Heading4Char"/>
    <w:qFormat/>
    <w:rsid w:val="00022915"/>
    <w:pPr>
      <w:keepNext/>
      <w:tabs>
        <w:tab w:val="left" w:pos="851"/>
      </w:tabs>
      <w:spacing w:before="240" w:after="0" w:line="240" w:lineRule="auto"/>
      <w:outlineLvl w:val="3"/>
    </w:pPr>
    <w:rPr>
      <w:rFonts w:ascii="Trebuchet MS" w:eastAsia="Times New Roman" w:hAnsi="Trebuchet MS" w:cs="Times New Roman"/>
      <w:bCs/>
      <w:i/>
      <w:sz w:val="24"/>
      <w:szCs w:val="28"/>
    </w:rPr>
  </w:style>
  <w:style w:type="paragraph" w:styleId="Heading5">
    <w:name w:val="heading 5"/>
    <w:basedOn w:val="Normal"/>
    <w:next w:val="Normal"/>
    <w:link w:val="Heading5Char"/>
    <w:qFormat/>
    <w:rsid w:val="00022915"/>
    <w:pPr>
      <w:keepLines/>
      <w:numPr>
        <w:ilvl w:val="4"/>
        <w:numId w:val="1"/>
      </w:numPr>
      <w:spacing w:before="240" w:after="60" w:line="240" w:lineRule="auto"/>
      <w:outlineLvl w:val="4"/>
    </w:pPr>
    <w:rPr>
      <w:rFonts w:ascii="Arial" w:eastAsia="Times New Roman" w:hAnsi="Arial" w:cs="Times New Roman"/>
      <w:b/>
      <w:bCs/>
      <w:i/>
      <w:iCs/>
      <w:sz w:val="26"/>
      <w:szCs w:val="26"/>
    </w:rPr>
  </w:style>
  <w:style w:type="paragraph" w:styleId="Heading6">
    <w:name w:val="heading 6"/>
    <w:basedOn w:val="Normal"/>
    <w:next w:val="Normal"/>
    <w:link w:val="Heading6Char"/>
    <w:qFormat/>
    <w:rsid w:val="00022915"/>
    <w:pPr>
      <w:keepLines/>
      <w:numPr>
        <w:ilvl w:val="5"/>
        <w:numId w:val="1"/>
      </w:numPr>
      <w:spacing w:before="240" w:after="60" w:line="240" w:lineRule="auto"/>
      <w:outlineLvl w:val="5"/>
    </w:pPr>
    <w:rPr>
      <w:rFonts w:ascii="Arial" w:eastAsia="Times New Roman" w:hAnsi="Arial" w:cs="Times New Roman"/>
      <w:b/>
      <w:bCs/>
    </w:rPr>
  </w:style>
  <w:style w:type="paragraph" w:styleId="Heading7">
    <w:name w:val="heading 7"/>
    <w:basedOn w:val="Normal"/>
    <w:next w:val="Normal"/>
    <w:link w:val="Heading7Char"/>
    <w:qFormat/>
    <w:rsid w:val="00022915"/>
    <w:pPr>
      <w:keepLines/>
      <w:numPr>
        <w:ilvl w:val="6"/>
        <w:numId w:val="1"/>
      </w:numPr>
      <w:spacing w:before="240" w:after="60" w:line="240" w:lineRule="auto"/>
      <w:outlineLvl w:val="6"/>
    </w:pPr>
    <w:rPr>
      <w:rFonts w:ascii="Arial" w:eastAsia="Times New Roman" w:hAnsi="Arial" w:cs="Times New Roman"/>
      <w:sz w:val="23"/>
      <w:szCs w:val="23"/>
    </w:rPr>
  </w:style>
  <w:style w:type="paragraph" w:styleId="Heading8">
    <w:name w:val="heading 8"/>
    <w:basedOn w:val="Normal"/>
    <w:next w:val="Normal"/>
    <w:link w:val="Heading8Char"/>
    <w:qFormat/>
    <w:rsid w:val="00022915"/>
    <w:pPr>
      <w:keepLines/>
      <w:numPr>
        <w:ilvl w:val="7"/>
        <w:numId w:val="1"/>
      </w:numPr>
      <w:spacing w:before="240" w:after="60" w:line="240" w:lineRule="auto"/>
      <w:outlineLvl w:val="7"/>
    </w:pPr>
    <w:rPr>
      <w:rFonts w:ascii="Arial" w:eastAsia="Times New Roman" w:hAnsi="Arial" w:cs="Times New Roman"/>
      <w:i/>
      <w:iCs/>
      <w:sz w:val="23"/>
      <w:szCs w:val="23"/>
    </w:rPr>
  </w:style>
  <w:style w:type="paragraph" w:styleId="Heading9">
    <w:name w:val="heading 9"/>
    <w:basedOn w:val="Normal"/>
    <w:next w:val="Normal"/>
    <w:link w:val="Heading9Char"/>
    <w:qFormat/>
    <w:rsid w:val="00022915"/>
    <w:pPr>
      <w:keepLines/>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362E9"/>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NoList1">
    <w:name w:val="No List1"/>
    <w:next w:val="NoList"/>
    <w:uiPriority w:val="99"/>
    <w:semiHidden/>
    <w:unhideWhenUsed/>
    <w:rsid w:val="00C362E9"/>
  </w:style>
  <w:style w:type="character" w:styleId="CommentReference">
    <w:name w:val="annotation reference"/>
    <w:basedOn w:val="DefaultParagraphFont"/>
    <w:uiPriority w:val="99"/>
    <w:semiHidden/>
    <w:unhideWhenUsed/>
    <w:rsid w:val="00017440"/>
    <w:rPr>
      <w:sz w:val="16"/>
      <w:szCs w:val="16"/>
    </w:rPr>
  </w:style>
  <w:style w:type="paragraph" w:styleId="CommentText">
    <w:name w:val="annotation text"/>
    <w:basedOn w:val="Normal"/>
    <w:link w:val="CommentTextChar"/>
    <w:uiPriority w:val="99"/>
    <w:unhideWhenUsed/>
    <w:rsid w:val="00017440"/>
    <w:pPr>
      <w:spacing w:line="240" w:lineRule="auto"/>
    </w:pPr>
    <w:rPr>
      <w:sz w:val="20"/>
      <w:szCs w:val="20"/>
    </w:rPr>
  </w:style>
  <w:style w:type="character" w:customStyle="1" w:styleId="CommentTextChar">
    <w:name w:val="Comment Text Char"/>
    <w:basedOn w:val="DefaultParagraphFont"/>
    <w:link w:val="CommentText"/>
    <w:uiPriority w:val="99"/>
    <w:rsid w:val="00017440"/>
    <w:rPr>
      <w:sz w:val="20"/>
      <w:szCs w:val="20"/>
    </w:rPr>
  </w:style>
  <w:style w:type="paragraph" w:styleId="CommentSubject">
    <w:name w:val="annotation subject"/>
    <w:basedOn w:val="CommentText"/>
    <w:next w:val="CommentText"/>
    <w:link w:val="CommentSubjectChar"/>
    <w:semiHidden/>
    <w:unhideWhenUsed/>
    <w:rsid w:val="00017440"/>
    <w:rPr>
      <w:b/>
      <w:bCs/>
    </w:rPr>
  </w:style>
  <w:style w:type="character" w:customStyle="1" w:styleId="CommentSubjectChar">
    <w:name w:val="Comment Subject Char"/>
    <w:basedOn w:val="CommentTextChar"/>
    <w:link w:val="CommentSubject"/>
    <w:semiHidden/>
    <w:rsid w:val="00017440"/>
    <w:rPr>
      <w:b/>
      <w:bCs/>
      <w:sz w:val="20"/>
      <w:szCs w:val="20"/>
    </w:rPr>
  </w:style>
  <w:style w:type="paragraph" w:styleId="BalloonText">
    <w:name w:val="Balloon Text"/>
    <w:basedOn w:val="Normal"/>
    <w:link w:val="BalloonTextChar"/>
    <w:semiHidden/>
    <w:unhideWhenUsed/>
    <w:rsid w:val="000174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17440"/>
    <w:rPr>
      <w:rFonts w:ascii="Segoe UI" w:hAnsi="Segoe UI" w:cs="Segoe UI"/>
      <w:sz w:val="18"/>
      <w:szCs w:val="18"/>
    </w:rPr>
  </w:style>
  <w:style w:type="character" w:styleId="Hyperlink">
    <w:name w:val="Hyperlink"/>
    <w:basedOn w:val="DefaultParagraphFont"/>
    <w:uiPriority w:val="99"/>
    <w:unhideWhenUsed/>
    <w:rsid w:val="00A77E5E"/>
    <w:rPr>
      <w:rFonts w:cs="Times New Roman"/>
      <w:color w:val="0563C1"/>
      <w:u w:val="single"/>
    </w:rPr>
  </w:style>
  <w:style w:type="character" w:styleId="FollowedHyperlink">
    <w:name w:val="FollowedHyperlink"/>
    <w:basedOn w:val="DefaultParagraphFont"/>
    <w:unhideWhenUsed/>
    <w:rsid w:val="00E638BF"/>
    <w:rPr>
      <w:color w:val="800080" w:themeColor="followedHyperlink"/>
      <w:u w:val="single"/>
    </w:rPr>
  </w:style>
  <w:style w:type="character" w:customStyle="1" w:styleId="Heading1Char">
    <w:name w:val="Heading 1 Char"/>
    <w:basedOn w:val="DefaultParagraphFont"/>
    <w:link w:val="Heading1"/>
    <w:uiPriority w:val="9"/>
    <w:rsid w:val="00022915"/>
    <w:rPr>
      <w:rFonts w:ascii="Trebuchet MS" w:eastAsia="Times New Roman" w:hAnsi="Trebuchet MS" w:cs="Arial"/>
      <w:bCs/>
      <w:spacing w:val="26"/>
      <w:kern w:val="28"/>
      <w:sz w:val="40"/>
      <w:szCs w:val="32"/>
    </w:rPr>
  </w:style>
  <w:style w:type="character" w:customStyle="1" w:styleId="Heading2Char">
    <w:name w:val="Heading 2 Char"/>
    <w:basedOn w:val="DefaultParagraphFont"/>
    <w:link w:val="Heading2"/>
    <w:rsid w:val="00022915"/>
    <w:rPr>
      <w:rFonts w:ascii="Trebuchet MS" w:eastAsia="Times New Roman" w:hAnsi="Trebuchet MS" w:cs="Arial"/>
      <w:bCs/>
      <w:iCs/>
      <w:spacing w:val="20"/>
      <w:sz w:val="32"/>
      <w:szCs w:val="28"/>
    </w:rPr>
  </w:style>
  <w:style w:type="character" w:customStyle="1" w:styleId="Heading3Char">
    <w:name w:val="Heading 3 Char"/>
    <w:basedOn w:val="DefaultParagraphFont"/>
    <w:link w:val="Heading3"/>
    <w:rsid w:val="00022915"/>
    <w:rPr>
      <w:rFonts w:ascii="Trebuchet MS" w:eastAsia="Times New Roman" w:hAnsi="Trebuchet MS" w:cs="Arial"/>
      <w:b/>
      <w:bCs/>
      <w:sz w:val="24"/>
      <w:szCs w:val="26"/>
    </w:rPr>
  </w:style>
  <w:style w:type="character" w:customStyle="1" w:styleId="Heading4Char">
    <w:name w:val="Heading 4 Char"/>
    <w:basedOn w:val="DefaultParagraphFont"/>
    <w:link w:val="Heading4"/>
    <w:rsid w:val="00022915"/>
    <w:rPr>
      <w:rFonts w:ascii="Trebuchet MS" w:eastAsia="Times New Roman" w:hAnsi="Trebuchet MS" w:cs="Times New Roman"/>
      <w:bCs/>
      <w:i/>
      <w:sz w:val="24"/>
      <w:szCs w:val="28"/>
    </w:rPr>
  </w:style>
  <w:style w:type="character" w:customStyle="1" w:styleId="Heading5Char">
    <w:name w:val="Heading 5 Char"/>
    <w:basedOn w:val="DefaultParagraphFont"/>
    <w:link w:val="Heading5"/>
    <w:rsid w:val="00022915"/>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022915"/>
    <w:rPr>
      <w:rFonts w:ascii="Arial" w:eastAsia="Times New Roman" w:hAnsi="Arial" w:cs="Times New Roman"/>
      <w:b/>
      <w:bCs/>
    </w:rPr>
  </w:style>
  <w:style w:type="character" w:customStyle="1" w:styleId="Heading7Char">
    <w:name w:val="Heading 7 Char"/>
    <w:basedOn w:val="DefaultParagraphFont"/>
    <w:link w:val="Heading7"/>
    <w:rsid w:val="00022915"/>
    <w:rPr>
      <w:rFonts w:ascii="Arial" w:eastAsia="Times New Roman" w:hAnsi="Arial" w:cs="Times New Roman"/>
      <w:sz w:val="23"/>
      <w:szCs w:val="23"/>
    </w:rPr>
  </w:style>
  <w:style w:type="character" w:customStyle="1" w:styleId="Heading8Char">
    <w:name w:val="Heading 8 Char"/>
    <w:basedOn w:val="DefaultParagraphFont"/>
    <w:link w:val="Heading8"/>
    <w:rsid w:val="00022915"/>
    <w:rPr>
      <w:rFonts w:ascii="Arial" w:eastAsia="Times New Roman" w:hAnsi="Arial" w:cs="Times New Roman"/>
      <w:i/>
      <w:iCs/>
      <w:sz w:val="23"/>
      <w:szCs w:val="23"/>
    </w:rPr>
  </w:style>
  <w:style w:type="character" w:customStyle="1" w:styleId="Heading9Char">
    <w:name w:val="Heading 9 Char"/>
    <w:basedOn w:val="DefaultParagraphFont"/>
    <w:link w:val="Heading9"/>
    <w:rsid w:val="00022915"/>
    <w:rPr>
      <w:rFonts w:ascii="Arial" w:eastAsia="Times New Roman" w:hAnsi="Arial" w:cs="Arial"/>
    </w:rPr>
  </w:style>
  <w:style w:type="table" w:styleId="TableProfessional">
    <w:name w:val="Table Professional"/>
    <w:basedOn w:val="TableNormal"/>
    <w:semiHidden/>
    <w:rsid w:val="00022915"/>
    <w:pPr>
      <w:spacing w:after="0" w:line="240" w:lineRule="auto"/>
    </w:pPr>
    <w:rPr>
      <w:rFonts w:ascii="Arial" w:eastAsia="Times New Roman" w:hAnsi="Arial"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Frutiger LT Std 45 Light" w:hAnsi="Frutiger LT Std 45 Light"/>
        <w:b/>
        <w:bCs/>
        <w:color w:val="auto"/>
        <w:sz w:val="24"/>
      </w:rPr>
      <w:tblPr/>
      <w:tcPr>
        <w:shd w:val="clear" w:color="auto" w:fill="CCCCCC"/>
      </w:tcPr>
    </w:tblStylePr>
    <w:tblStylePr w:type="firstCol">
      <w:rPr>
        <w:rFonts w:ascii="Frutiger LT Std 45 Light" w:hAnsi="Frutiger LT Std 45 Light"/>
        <w:b/>
        <w:sz w:val="24"/>
      </w:rPr>
    </w:tblStylePr>
  </w:style>
  <w:style w:type="numbering" w:styleId="111111">
    <w:name w:val="Outline List 2"/>
    <w:basedOn w:val="NoList"/>
    <w:semiHidden/>
    <w:rsid w:val="00022915"/>
  </w:style>
  <w:style w:type="numbering" w:styleId="1ai">
    <w:name w:val="Outline List 1"/>
    <w:basedOn w:val="NoList"/>
    <w:semiHidden/>
    <w:rsid w:val="00022915"/>
    <w:pPr>
      <w:numPr>
        <w:numId w:val="10"/>
      </w:numPr>
    </w:pPr>
  </w:style>
  <w:style w:type="numbering" w:styleId="ArticleSection">
    <w:name w:val="Outline List 3"/>
    <w:basedOn w:val="NoList"/>
    <w:semiHidden/>
    <w:rsid w:val="00022915"/>
    <w:pPr>
      <w:numPr>
        <w:numId w:val="11"/>
      </w:numPr>
    </w:pPr>
  </w:style>
  <w:style w:type="paragraph" w:styleId="BlockText">
    <w:name w:val="Block Text"/>
    <w:basedOn w:val="Normal"/>
    <w:next w:val="Normal"/>
    <w:rsid w:val="00022915"/>
    <w:pPr>
      <w:keepLines/>
      <w:spacing w:before="120" w:after="120" w:line="300" w:lineRule="atLeast"/>
      <w:ind w:left="1440"/>
    </w:pPr>
    <w:rPr>
      <w:rFonts w:ascii="Arial" w:eastAsia="Times New Roman" w:hAnsi="Arial" w:cs="Times New Roman"/>
      <w:sz w:val="21"/>
      <w:szCs w:val="23"/>
    </w:rPr>
  </w:style>
  <w:style w:type="paragraph" w:styleId="BodyText2">
    <w:name w:val="Body Text 2"/>
    <w:basedOn w:val="Normal"/>
    <w:link w:val="BodyText2Char"/>
    <w:semiHidden/>
    <w:rsid w:val="00022915"/>
    <w:pPr>
      <w:keepLines/>
      <w:spacing w:before="120" w:after="120" w:line="480" w:lineRule="auto"/>
    </w:pPr>
    <w:rPr>
      <w:rFonts w:ascii="Arial" w:eastAsia="Times New Roman" w:hAnsi="Arial" w:cs="Times New Roman"/>
      <w:sz w:val="23"/>
      <w:szCs w:val="23"/>
    </w:rPr>
  </w:style>
  <w:style w:type="character" w:customStyle="1" w:styleId="BodyText2Char">
    <w:name w:val="Body Text 2 Char"/>
    <w:basedOn w:val="DefaultParagraphFont"/>
    <w:link w:val="BodyText2"/>
    <w:semiHidden/>
    <w:rsid w:val="00022915"/>
    <w:rPr>
      <w:rFonts w:ascii="Arial" w:eastAsia="Times New Roman" w:hAnsi="Arial" w:cs="Times New Roman"/>
      <w:sz w:val="23"/>
      <w:szCs w:val="23"/>
    </w:rPr>
  </w:style>
  <w:style w:type="paragraph" w:styleId="BodyText3">
    <w:name w:val="Body Text 3"/>
    <w:basedOn w:val="Normal"/>
    <w:link w:val="BodyText3Char"/>
    <w:semiHidden/>
    <w:rsid w:val="00022915"/>
    <w:pPr>
      <w:keepLines/>
      <w:spacing w:before="120"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semiHidden/>
    <w:rsid w:val="00022915"/>
    <w:rPr>
      <w:rFonts w:ascii="Arial" w:eastAsia="Times New Roman" w:hAnsi="Arial" w:cs="Times New Roman"/>
      <w:sz w:val="16"/>
      <w:szCs w:val="16"/>
    </w:rPr>
  </w:style>
  <w:style w:type="paragraph" w:styleId="BodyText">
    <w:name w:val="Body Text"/>
    <w:basedOn w:val="Normal"/>
    <w:link w:val="BodyTextChar"/>
    <w:semiHidden/>
    <w:unhideWhenUsed/>
    <w:rsid w:val="00022915"/>
    <w:pPr>
      <w:spacing w:after="120"/>
    </w:pPr>
  </w:style>
  <w:style w:type="character" w:customStyle="1" w:styleId="BodyTextChar">
    <w:name w:val="Body Text Char"/>
    <w:basedOn w:val="DefaultParagraphFont"/>
    <w:link w:val="BodyText"/>
    <w:semiHidden/>
    <w:rsid w:val="00022915"/>
  </w:style>
  <w:style w:type="paragraph" w:styleId="BodyTextFirstIndent">
    <w:name w:val="Body Text First Indent"/>
    <w:basedOn w:val="Normal"/>
    <w:link w:val="BodyTextFirstIndentChar"/>
    <w:semiHidden/>
    <w:rsid w:val="00022915"/>
    <w:pPr>
      <w:keepLines/>
      <w:spacing w:before="120" w:after="0" w:line="240" w:lineRule="auto"/>
      <w:ind w:firstLine="210"/>
    </w:pPr>
    <w:rPr>
      <w:rFonts w:ascii="Arial" w:eastAsia="Times New Roman" w:hAnsi="Arial" w:cs="Times New Roman"/>
      <w:sz w:val="23"/>
      <w:szCs w:val="23"/>
    </w:rPr>
  </w:style>
  <w:style w:type="character" w:customStyle="1" w:styleId="BodyTextFirstIndentChar">
    <w:name w:val="Body Text First Indent Char"/>
    <w:basedOn w:val="BodyTextChar"/>
    <w:link w:val="BodyTextFirstIndent"/>
    <w:semiHidden/>
    <w:rsid w:val="00022915"/>
    <w:rPr>
      <w:rFonts w:ascii="Arial" w:eastAsia="Times New Roman" w:hAnsi="Arial" w:cs="Times New Roman"/>
      <w:sz w:val="23"/>
      <w:szCs w:val="23"/>
    </w:rPr>
  </w:style>
  <w:style w:type="paragraph" w:styleId="BodyTextIndent">
    <w:name w:val="Body Text Indent"/>
    <w:basedOn w:val="Normal"/>
    <w:link w:val="BodyTextIndentChar"/>
    <w:rsid w:val="00022915"/>
    <w:pPr>
      <w:keepLines/>
      <w:spacing w:before="120" w:after="120" w:line="300" w:lineRule="atLeast"/>
      <w:ind w:left="357"/>
    </w:pPr>
    <w:rPr>
      <w:rFonts w:ascii="Arial" w:eastAsia="Times New Roman" w:hAnsi="Arial" w:cs="Times New Roman"/>
      <w:sz w:val="23"/>
      <w:szCs w:val="23"/>
    </w:rPr>
  </w:style>
  <w:style w:type="character" w:customStyle="1" w:styleId="BodyTextIndentChar">
    <w:name w:val="Body Text Indent Char"/>
    <w:basedOn w:val="DefaultParagraphFont"/>
    <w:link w:val="BodyTextIndent"/>
    <w:rsid w:val="00022915"/>
    <w:rPr>
      <w:rFonts w:ascii="Arial" w:eastAsia="Times New Roman" w:hAnsi="Arial" w:cs="Times New Roman"/>
      <w:sz w:val="23"/>
      <w:szCs w:val="23"/>
    </w:rPr>
  </w:style>
  <w:style w:type="paragraph" w:styleId="BodyTextFirstIndent2">
    <w:name w:val="Body Text First Indent 2"/>
    <w:basedOn w:val="BodyTextIndent"/>
    <w:link w:val="BodyTextFirstIndent2Char"/>
    <w:semiHidden/>
    <w:rsid w:val="00022915"/>
    <w:pPr>
      <w:ind w:firstLine="210"/>
    </w:pPr>
  </w:style>
  <w:style w:type="character" w:customStyle="1" w:styleId="BodyTextFirstIndent2Char">
    <w:name w:val="Body Text First Indent 2 Char"/>
    <w:basedOn w:val="BodyTextIndentChar"/>
    <w:link w:val="BodyTextFirstIndent2"/>
    <w:semiHidden/>
    <w:rsid w:val="00022915"/>
    <w:rPr>
      <w:rFonts w:ascii="Arial" w:eastAsia="Times New Roman" w:hAnsi="Arial" w:cs="Times New Roman"/>
      <w:sz w:val="23"/>
      <w:szCs w:val="23"/>
    </w:rPr>
  </w:style>
  <w:style w:type="paragraph" w:styleId="BodyTextIndent2">
    <w:name w:val="Body Text Indent 2"/>
    <w:basedOn w:val="Normal"/>
    <w:link w:val="BodyTextIndent2Char"/>
    <w:uiPriority w:val="99"/>
    <w:semiHidden/>
    <w:rsid w:val="00022915"/>
    <w:pPr>
      <w:keepLines/>
      <w:spacing w:before="120" w:after="120" w:line="480" w:lineRule="auto"/>
      <w:ind w:left="283"/>
    </w:pPr>
    <w:rPr>
      <w:rFonts w:ascii="Arial" w:eastAsia="Times New Roman" w:hAnsi="Arial" w:cs="Times New Roman"/>
      <w:sz w:val="23"/>
      <w:szCs w:val="23"/>
    </w:rPr>
  </w:style>
  <w:style w:type="character" w:customStyle="1" w:styleId="BodyTextIndent2Char">
    <w:name w:val="Body Text Indent 2 Char"/>
    <w:basedOn w:val="DefaultParagraphFont"/>
    <w:link w:val="BodyTextIndent2"/>
    <w:uiPriority w:val="99"/>
    <w:semiHidden/>
    <w:rsid w:val="00022915"/>
    <w:rPr>
      <w:rFonts w:ascii="Arial" w:eastAsia="Times New Roman" w:hAnsi="Arial" w:cs="Times New Roman"/>
      <w:sz w:val="23"/>
      <w:szCs w:val="23"/>
    </w:rPr>
  </w:style>
  <w:style w:type="paragraph" w:styleId="Header">
    <w:name w:val="header"/>
    <w:basedOn w:val="Normal"/>
    <w:link w:val="HeaderChar"/>
    <w:rsid w:val="00022915"/>
    <w:pPr>
      <w:keepLines/>
      <w:tabs>
        <w:tab w:val="center" w:pos="4153"/>
        <w:tab w:val="right" w:pos="8306"/>
      </w:tabs>
      <w:spacing w:before="120" w:after="0" w:line="240" w:lineRule="auto"/>
    </w:pPr>
    <w:rPr>
      <w:rFonts w:ascii="Arial" w:eastAsia="Times New Roman" w:hAnsi="Arial" w:cs="Times New Roman"/>
      <w:sz w:val="15"/>
      <w:szCs w:val="23"/>
    </w:rPr>
  </w:style>
  <w:style w:type="character" w:customStyle="1" w:styleId="HeaderChar">
    <w:name w:val="Header Char"/>
    <w:basedOn w:val="DefaultParagraphFont"/>
    <w:link w:val="Header"/>
    <w:rsid w:val="00022915"/>
    <w:rPr>
      <w:rFonts w:ascii="Arial" w:eastAsia="Times New Roman" w:hAnsi="Arial" w:cs="Times New Roman"/>
      <w:sz w:val="15"/>
      <w:szCs w:val="23"/>
    </w:rPr>
  </w:style>
  <w:style w:type="paragraph" w:styleId="BodyTextIndent3">
    <w:name w:val="Body Text Indent 3"/>
    <w:basedOn w:val="Normal"/>
    <w:link w:val="BodyTextIndent3Char"/>
    <w:semiHidden/>
    <w:rsid w:val="00022915"/>
    <w:pPr>
      <w:keepLines/>
      <w:spacing w:before="120" w:after="120" w:line="240" w:lineRule="auto"/>
      <w:ind w:left="283"/>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semiHidden/>
    <w:rsid w:val="00022915"/>
    <w:rPr>
      <w:rFonts w:ascii="Arial" w:eastAsia="Times New Roman" w:hAnsi="Arial" w:cs="Times New Roman"/>
      <w:sz w:val="16"/>
      <w:szCs w:val="16"/>
    </w:rPr>
  </w:style>
  <w:style w:type="paragraph" w:styleId="Closing">
    <w:name w:val="Closing"/>
    <w:basedOn w:val="Normal"/>
    <w:link w:val="ClosingChar"/>
    <w:semiHidden/>
    <w:rsid w:val="00022915"/>
    <w:pPr>
      <w:keepLines/>
      <w:spacing w:before="120" w:after="0" w:line="240" w:lineRule="auto"/>
      <w:ind w:left="4252"/>
    </w:pPr>
    <w:rPr>
      <w:rFonts w:ascii="Arial" w:eastAsia="Times New Roman" w:hAnsi="Arial" w:cs="Times New Roman"/>
      <w:sz w:val="23"/>
      <w:szCs w:val="23"/>
    </w:rPr>
  </w:style>
  <w:style w:type="character" w:customStyle="1" w:styleId="ClosingChar">
    <w:name w:val="Closing Char"/>
    <w:basedOn w:val="DefaultParagraphFont"/>
    <w:link w:val="Closing"/>
    <w:semiHidden/>
    <w:rsid w:val="00022915"/>
    <w:rPr>
      <w:rFonts w:ascii="Arial" w:eastAsia="Times New Roman" w:hAnsi="Arial" w:cs="Times New Roman"/>
      <w:sz w:val="23"/>
      <w:szCs w:val="23"/>
    </w:rPr>
  </w:style>
  <w:style w:type="paragraph" w:styleId="E-mailSignature">
    <w:name w:val="E-mail Signature"/>
    <w:basedOn w:val="Normal"/>
    <w:link w:val="E-mailSignatureChar"/>
    <w:semiHidden/>
    <w:rsid w:val="00022915"/>
    <w:pPr>
      <w:keepLines/>
      <w:spacing w:before="120" w:after="0" w:line="240" w:lineRule="auto"/>
    </w:pPr>
    <w:rPr>
      <w:rFonts w:ascii="Arial" w:eastAsia="Times New Roman" w:hAnsi="Arial" w:cs="Times New Roman"/>
      <w:sz w:val="23"/>
      <w:szCs w:val="23"/>
    </w:rPr>
  </w:style>
  <w:style w:type="character" w:customStyle="1" w:styleId="E-mailSignatureChar">
    <w:name w:val="E-mail Signature Char"/>
    <w:basedOn w:val="DefaultParagraphFont"/>
    <w:link w:val="E-mailSignature"/>
    <w:semiHidden/>
    <w:rsid w:val="00022915"/>
    <w:rPr>
      <w:rFonts w:ascii="Arial" w:eastAsia="Times New Roman" w:hAnsi="Arial" w:cs="Times New Roman"/>
      <w:sz w:val="23"/>
      <w:szCs w:val="23"/>
    </w:rPr>
  </w:style>
  <w:style w:type="character" w:styleId="Emphasis">
    <w:name w:val="Emphasis"/>
    <w:basedOn w:val="DefaultParagraphFont"/>
    <w:uiPriority w:val="20"/>
    <w:qFormat/>
    <w:rsid w:val="00022915"/>
    <w:rPr>
      <w:i/>
      <w:iCs/>
    </w:rPr>
  </w:style>
  <w:style w:type="paragraph" w:styleId="EnvelopeAddress">
    <w:name w:val="envelope address"/>
    <w:basedOn w:val="Normal"/>
    <w:semiHidden/>
    <w:rsid w:val="00022915"/>
    <w:pPr>
      <w:keepLines/>
      <w:framePr w:w="7920" w:h="1980" w:hRule="exact" w:hSpace="180" w:wrap="auto" w:hAnchor="page" w:xAlign="center" w:yAlign="bottom"/>
      <w:spacing w:before="120" w:after="0" w:line="240" w:lineRule="auto"/>
      <w:ind w:left="2880"/>
    </w:pPr>
    <w:rPr>
      <w:rFonts w:ascii="Arial" w:eastAsia="Times New Roman" w:hAnsi="Arial" w:cs="Arial"/>
      <w:sz w:val="23"/>
      <w:szCs w:val="23"/>
    </w:rPr>
  </w:style>
  <w:style w:type="paragraph" w:styleId="EnvelopeReturn">
    <w:name w:val="envelope return"/>
    <w:basedOn w:val="Normal"/>
    <w:semiHidden/>
    <w:rsid w:val="00022915"/>
    <w:pPr>
      <w:keepLines/>
      <w:spacing w:before="120" w:after="0" w:line="240" w:lineRule="auto"/>
    </w:pPr>
    <w:rPr>
      <w:rFonts w:ascii="Arial" w:eastAsia="Times New Roman" w:hAnsi="Arial" w:cs="Arial"/>
      <w:sz w:val="20"/>
      <w:szCs w:val="20"/>
    </w:rPr>
  </w:style>
  <w:style w:type="character" w:styleId="HTMLAcronym">
    <w:name w:val="HTML Acronym"/>
    <w:basedOn w:val="DefaultParagraphFont"/>
    <w:semiHidden/>
    <w:rsid w:val="00022915"/>
  </w:style>
  <w:style w:type="paragraph" w:styleId="HTMLAddress">
    <w:name w:val="HTML Address"/>
    <w:basedOn w:val="Normal"/>
    <w:link w:val="HTMLAddressChar"/>
    <w:semiHidden/>
    <w:rsid w:val="00022915"/>
    <w:pPr>
      <w:keepLines/>
      <w:spacing w:before="120" w:after="0" w:line="240" w:lineRule="auto"/>
    </w:pPr>
    <w:rPr>
      <w:rFonts w:ascii="Arial" w:eastAsia="Times New Roman" w:hAnsi="Arial" w:cs="Times New Roman"/>
      <w:i/>
      <w:iCs/>
      <w:sz w:val="23"/>
      <w:szCs w:val="23"/>
    </w:rPr>
  </w:style>
  <w:style w:type="character" w:customStyle="1" w:styleId="HTMLAddressChar">
    <w:name w:val="HTML Address Char"/>
    <w:basedOn w:val="DefaultParagraphFont"/>
    <w:link w:val="HTMLAddress"/>
    <w:semiHidden/>
    <w:rsid w:val="00022915"/>
    <w:rPr>
      <w:rFonts w:ascii="Arial" w:eastAsia="Times New Roman" w:hAnsi="Arial" w:cs="Times New Roman"/>
      <w:i/>
      <w:iCs/>
      <w:sz w:val="23"/>
      <w:szCs w:val="23"/>
    </w:rPr>
  </w:style>
  <w:style w:type="paragraph" w:styleId="Footer">
    <w:name w:val="footer"/>
    <w:basedOn w:val="Normal"/>
    <w:link w:val="FooterChar"/>
    <w:uiPriority w:val="99"/>
    <w:rsid w:val="00022915"/>
    <w:pPr>
      <w:keepLines/>
      <w:tabs>
        <w:tab w:val="center" w:pos="4153"/>
        <w:tab w:val="right" w:pos="8306"/>
      </w:tabs>
      <w:spacing w:before="120" w:after="0" w:line="240" w:lineRule="auto"/>
    </w:pPr>
    <w:rPr>
      <w:rFonts w:ascii="Arial" w:eastAsia="Times New Roman" w:hAnsi="Arial" w:cs="Times New Roman"/>
      <w:sz w:val="15"/>
      <w:szCs w:val="23"/>
    </w:rPr>
  </w:style>
  <w:style w:type="character" w:customStyle="1" w:styleId="FooterChar">
    <w:name w:val="Footer Char"/>
    <w:basedOn w:val="DefaultParagraphFont"/>
    <w:link w:val="Footer"/>
    <w:uiPriority w:val="99"/>
    <w:rsid w:val="00022915"/>
    <w:rPr>
      <w:rFonts w:ascii="Arial" w:eastAsia="Times New Roman" w:hAnsi="Arial" w:cs="Times New Roman"/>
      <w:sz w:val="15"/>
      <w:szCs w:val="23"/>
    </w:rPr>
  </w:style>
  <w:style w:type="character" w:styleId="HTMLCite">
    <w:name w:val="HTML Cite"/>
    <w:basedOn w:val="DefaultParagraphFont"/>
    <w:semiHidden/>
    <w:rsid w:val="00022915"/>
    <w:rPr>
      <w:i/>
      <w:iCs/>
    </w:rPr>
  </w:style>
  <w:style w:type="character" w:styleId="HTMLCode">
    <w:name w:val="HTML Code"/>
    <w:basedOn w:val="DefaultParagraphFont"/>
    <w:semiHidden/>
    <w:rsid w:val="00022915"/>
    <w:rPr>
      <w:rFonts w:ascii="Courier New" w:hAnsi="Courier New" w:cs="Courier New"/>
      <w:sz w:val="20"/>
      <w:szCs w:val="20"/>
    </w:rPr>
  </w:style>
  <w:style w:type="character" w:styleId="HTMLDefinition">
    <w:name w:val="HTML Definition"/>
    <w:basedOn w:val="DefaultParagraphFont"/>
    <w:semiHidden/>
    <w:rsid w:val="00022915"/>
    <w:rPr>
      <w:i/>
      <w:iCs/>
    </w:rPr>
  </w:style>
  <w:style w:type="character" w:styleId="HTMLKeyboard">
    <w:name w:val="HTML Keyboard"/>
    <w:basedOn w:val="DefaultParagraphFont"/>
    <w:semiHidden/>
    <w:rsid w:val="00022915"/>
    <w:rPr>
      <w:rFonts w:ascii="Courier New" w:hAnsi="Courier New" w:cs="Courier New"/>
      <w:sz w:val="20"/>
      <w:szCs w:val="20"/>
    </w:rPr>
  </w:style>
  <w:style w:type="paragraph" w:styleId="TOC1">
    <w:name w:val="toc 1"/>
    <w:basedOn w:val="Normal"/>
    <w:next w:val="Normal"/>
    <w:uiPriority w:val="39"/>
    <w:rsid w:val="00022915"/>
    <w:pPr>
      <w:keepLines/>
      <w:tabs>
        <w:tab w:val="left" w:pos="284"/>
        <w:tab w:val="right" w:leader="dot" w:pos="9072"/>
      </w:tabs>
      <w:spacing w:before="120" w:after="120" w:line="240" w:lineRule="auto"/>
      <w:ind w:left="284" w:hanging="284"/>
    </w:pPr>
    <w:rPr>
      <w:rFonts w:ascii="Arial" w:eastAsia="Times New Roman" w:hAnsi="Arial" w:cs="Times New Roman"/>
      <w:noProof/>
      <w:sz w:val="23"/>
      <w:szCs w:val="23"/>
    </w:rPr>
  </w:style>
  <w:style w:type="paragraph" w:styleId="TOC2">
    <w:name w:val="toc 2"/>
    <w:basedOn w:val="Normal"/>
    <w:next w:val="Normal"/>
    <w:uiPriority w:val="39"/>
    <w:rsid w:val="00022915"/>
    <w:pPr>
      <w:keepLines/>
      <w:tabs>
        <w:tab w:val="right" w:leader="dot" w:pos="9072"/>
      </w:tabs>
      <w:spacing w:before="40" w:after="40" w:line="240" w:lineRule="auto"/>
      <w:ind w:left="851" w:hanging="567"/>
    </w:pPr>
    <w:rPr>
      <w:rFonts w:ascii="Arial" w:eastAsia="Times New Roman" w:hAnsi="Arial" w:cs="Times New Roman"/>
      <w:noProof/>
      <w:sz w:val="21"/>
      <w:szCs w:val="23"/>
    </w:rPr>
  </w:style>
  <w:style w:type="paragraph" w:styleId="HTMLPreformatted">
    <w:name w:val="HTML Preformatted"/>
    <w:basedOn w:val="Normal"/>
    <w:link w:val="HTMLPreformattedChar"/>
    <w:semiHidden/>
    <w:rsid w:val="00022915"/>
    <w:pPr>
      <w:keepLines/>
      <w:spacing w:before="120"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022915"/>
    <w:rPr>
      <w:rFonts w:ascii="Courier New" w:eastAsia="Times New Roman" w:hAnsi="Courier New" w:cs="Courier New"/>
      <w:sz w:val="20"/>
      <w:szCs w:val="20"/>
    </w:rPr>
  </w:style>
  <w:style w:type="paragraph" w:styleId="TOC3">
    <w:name w:val="toc 3"/>
    <w:basedOn w:val="Normal"/>
    <w:next w:val="Normal"/>
    <w:uiPriority w:val="39"/>
    <w:rsid w:val="00022915"/>
    <w:pPr>
      <w:keepLines/>
      <w:tabs>
        <w:tab w:val="right" w:leader="dot" w:pos="9072"/>
      </w:tabs>
      <w:spacing w:before="40" w:after="40" w:line="240" w:lineRule="auto"/>
      <w:ind w:left="1702" w:hanging="851"/>
    </w:pPr>
    <w:rPr>
      <w:rFonts w:ascii="Arial" w:eastAsia="Times New Roman" w:hAnsi="Arial" w:cs="Times New Roman"/>
      <w:noProof/>
      <w:sz w:val="18"/>
      <w:szCs w:val="23"/>
    </w:rPr>
  </w:style>
  <w:style w:type="paragraph" w:styleId="NormalIndent">
    <w:name w:val="Normal Indent"/>
    <w:basedOn w:val="Normal"/>
    <w:semiHidden/>
    <w:rsid w:val="00022915"/>
    <w:pPr>
      <w:keepLines/>
      <w:spacing w:before="120" w:after="0" w:line="240" w:lineRule="auto"/>
      <w:ind w:left="720"/>
    </w:pPr>
    <w:rPr>
      <w:rFonts w:ascii="Arial" w:eastAsia="Times New Roman" w:hAnsi="Arial" w:cs="Times New Roman"/>
      <w:sz w:val="23"/>
      <w:szCs w:val="23"/>
    </w:rPr>
  </w:style>
  <w:style w:type="character" w:customStyle="1" w:styleId="Bold">
    <w:name w:val="Bold"/>
    <w:basedOn w:val="DefaultParagraphFont"/>
    <w:uiPriority w:val="1"/>
    <w:qFormat/>
    <w:rsid w:val="00022915"/>
    <w:rPr>
      <w:b/>
    </w:rPr>
  </w:style>
  <w:style w:type="character" w:styleId="LineNumber">
    <w:name w:val="line number"/>
    <w:basedOn w:val="DefaultParagraphFont"/>
    <w:semiHidden/>
    <w:rsid w:val="00022915"/>
  </w:style>
  <w:style w:type="paragraph" w:styleId="TableofAuthorities">
    <w:name w:val="table of authorities"/>
    <w:basedOn w:val="Normal"/>
    <w:next w:val="Normal"/>
    <w:rsid w:val="00022915"/>
    <w:pPr>
      <w:keepLines/>
      <w:spacing w:before="120" w:after="0" w:line="240" w:lineRule="auto"/>
      <w:ind w:left="240" w:hanging="240"/>
    </w:pPr>
    <w:rPr>
      <w:rFonts w:ascii="Arial" w:eastAsia="Times New Roman" w:hAnsi="Arial" w:cs="Times New Roman"/>
      <w:sz w:val="23"/>
      <w:szCs w:val="23"/>
    </w:rPr>
  </w:style>
  <w:style w:type="paragraph" w:customStyle="1" w:styleId="Heading2notinContents">
    <w:name w:val="Heading 2 not in Contents"/>
    <w:basedOn w:val="Heading2nonumbering"/>
    <w:next w:val="Normal"/>
    <w:semiHidden/>
    <w:rsid w:val="00022915"/>
  </w:style>
  <w:style w:type="paragraph" w:customStyle="1" w:styleId="TableFootnoteText">
    <w:name w:val="Table Footnote Text"/>
    <w:basedOn w:val="FootnoteText"/>
    <w:next w:val="Normal"/>
    <w:rsid w:val="00022915"/>
    <w:rPr>
      <w:i/>
    </w:rPr>
  </w:style>
  <w:style w:type="paragraph" w:styleId="Caption">
    <w:name w:val="caption"/>
    <w:basedOn w:val="Figurecaption"/>
    <w:next w:val="Normal"/>
    <w:link w:val="CaptionChar"/>
    <w:qFormat/>
    <w:rsid w:val="00022915"/>
    <w:pPr>
      <w:spacing w:after="120"/>
    </w:pPr>
    <w:rPr>
      <w:i/>
    </w:rPr>
  </w:style>
  <w:style w:type="paragraph" w:styleId="EndnoteText">
    <w:name w:val="endnote text"/>
    <w:basedOn w:val="FootnoteText"/>
    <w:link w:val="EndnoteTextChar"/>
    <w:rsid w:val="00022915"/>
  </w:style>
  <w:style w:type="character" w:customStyle="1" w:styleId="EndnoteTextChar">
    <w:name w:val="Endnote Text Char"/>
    <w:basedOn w:val="DefaultParagraphFont"/>
    <w:link w:val="EndnoteText"/>
    <w:rsid w:val="00022915"/>
    <w:rPr>
      <w:rFonts w:ascii="Arial" w:eastAsia="Times New Roman" w:hAnsi="Arial" w:cs="Times New Roman"/>
      <w:sz w:val="18"/>
      <w:szCs w:val="20"/>
    </w:rPr>
  </w:style>
  <w:style w:type="character" w:styleId="HTMLSample">
    <w:name w:val="HTML Sample"/>
    <w:basedOn w:val="DefaultParagraphFont"/>
    <w:semiHidden/>
    <w:rsid w:val="00022915"/>
    <w:rPr>
      <w:rFonts w:ascii="Courier New" w:hAnsi="Courier New" w:cs="Courier New"/>
    </w:rPr>
  </w:style>
  <w:style w:type="character" w:styleId="HTMLTypewriter">
    <w:name w:val="HTML Typewriter"/>
    <w:basedOn w:val="DefaultParagraphFont"/>
    <w:semiHidden/>
    <w:rsid w:val="00022915"/>
    <w:rPr>
      <w:rFonts w:ascii="Courier New" w:hAnsi="Courier New" w:cs="Courier New"/>
      <w:sz w:val="20"/>
      <w:szCs w:val="20"/>
    </w:rPr>
  </w:style>
  <w:style w:type="paragraph" w:styleId="TableofFigures">
    <w:name w:val="table of figures"/>
    <w:aliases w:val="MJA Table of Figures"/>
    <w:uiPriority w:val="99"/>
    <w:rsid w:val="00022915"/>
    <w:pPr>
      <w:tabs>
        <w:tab w:val="right" w:leader="dot" w:pos="9639"/>
      </w:tabs>
      <w:spacing w:after="0" w:line="240" w:lineRule="auto"/>
      <w:ind w:left="284" w:hanging="284"/>
    </w:pPr>
    <w:rPr>
      <w:rFonts w:ascii="Arial" w:eastAsia="Times New Roman" w:hAnsi="Arial" w:cs="Times New Roman"/>
      <w:sz w:val="24"/>
      <w:szCs w:val="20"/>
    </w:rPr>
  </w:style>
  <w:style w:type="character" w:styleId="HTMLVariable">
    <w:name w:val="HTML Variable"/>
    <w:basedOn w:val="DefaultParagraphFont"/>
    <w:semiHidden/>
    <w:rsid w:val="00022915"/>
    <w:rPr>
      <w:i/>
      <w:iCs/>
    </w:rPr>
  </w:style>
  <w:style w:type="paragraph" w:styleId="List">
    <w:name w:val="List"/>
    <w:basedOn w:val="Normal"/>
    <w:semiHidden/>
    <w:rsid w:val="00022915"/>
    <w:pPr>
      <w:keepLines/>
      <w:spacing w:before="120" w:after="0" w:line="240" w:lineRule="auto"/>
      <w:ind w:left="283" w:hanging="283"/>
    </w:pPr>
    <w:rPr>
      <w:rFonts w:ascii="Arial" w:eastAsia="Times New Roman" w:hAnsi="Arial" w:cs="Times New Roman"/>
      <w:sz w:val="23"/>
      <w:szCs w:val="23"/>
    </w:rPr>
  </w:style>
  <w:style w:type="paragraph" w:styleId="List2">
    <w:name w:val="List 2"/>
    <w:basedOn w:val="Normal"/>
    <w:semiHidden/>
    <w:rsid w:val="00022915"/>
    <w:pPr>
      <w:keepLines/>
      <w:spacing w:before="120" w:after="0" w:line="240" w:lineRule="auto"/>
      <w:ind w:left="566" w:hanging="283"/>
    </w:pPr>
    <w:rPr>
      <w:rFonts w:ascii="Arial" w:eastAsia="Times New Roman" w:hAnsi="Arial" w:cs="Times New Roman"/>
      <w:sz w:val="23"/>
      <w:szCs w:val="23"/>
    </w:rPr>
  </w:style>
  <w:style w:type="paragraph" w:styleId="List3">
    <w:name w:val="List 3"/>
    <w:basedOn w:val="Normal"/>
    <w:semiHidden/>
    <w:rsid w:val="00022915"/>
    <w:pPr>
      <w:keepLines/>
      <w:spacing w:before="120" w:after="0" w:line="240" w:lineRule="auto"/>
      <w:ind w:left="849" w:hanging="283"/>
    </w:pPr>
    <w:rPr>
      <w:rFonts w:ascii="Arial" w:eastAsia="Times New Roman" w:hAnsi="Arial" w:cs="Times New Roman"/>
      <w:sz w:val="23"/>
      <w:szCs w:val="23"/>
    </w:rPr>
  </w:style>
  <w:style w:type="paragraph" w:styleId="List4">
    <w:name w:val="List 4"/>
    <w:basedOn w:val="Normal"/>
    <w:semiHidden/>
    <w:rsid w:val="00022915"/>
    <w:pPr>
      <w:keepLines/>
      <w:spacing w:before="120" w:after="0" w:line="240" w:lineRule="auto"/>
      <w:ind w:left="1132" w:hanging="283"/>
    </w:pPr>
    <w:rPr>
      <w:rFonts w:ascii="Arial" w:eastAsia="Times New Roman" w:hAnsi="Arial" w:cs="Times New Roman"/>
      <w:sz w:val="23"/>
      <w:szCs w:val="23"/>
    </w:rPr>
  </w:style>
  <w:style w:type="paragraph" w:styleId="List5">
    <w:name w:val="List 5"/>
    <w:basedOn w:val="Normal"/>
    <w:semiHidden/>
    <w:rsid w:val="00022915"/>
    <w:pPr>
      <w:keepLines/>
      <w:spacing w:before="120" w:after="0" w:line="240" w:lineRule="auto"/>
      <w:ind w:left="1415" w:hanging="283"/>
    </w:pPr>
    <w:rPr>
      <w:rFonts w:ascii="Arial" w:eastAsia="Times New Roman" w:hAnsi="Arial" w:cs="Times New Roman"/>
      <w:sz w:val="23"/>
      <w:szCs w:val="23"/>
    </w:rPr>
  </w:style>
  <w:style w:type="character" w:customStyle="1" w:styleId="UnresolvedMention1">
    <w:name w:val="Unresolved Mention1"/>
    <w:basedOn w:val="DefaultParagraphFont"/>
    <w:uiPriority w:val="99"/>
    <w:semiHidden/>
    <w:unhideWhenUsed/>
    <w:rsid w:val="00022915"/>
    <w:rPr>
      <w:color w:val="605E5C"/>
      <w:shd w:val="clear" w:color="auto" w:fill="E1DFDD"/>
    </w:rPr>
  </w:style>
  <w:style w:type="paragraph" w:styleId="ListBullet2">
    <w:name w:val="List Bullet 2"/>
    <w:basedOn w:val="Normal"/>
    <w:rsid w:val="00022915"/>
    <w:pPr>
      <w:keepLines/>
      <w:numPr>
        <w:numId w:val="12"/>
      </w:numPr>
      <w:spacing w:before="120" w:after="0" w:line="240" w:lineRule="auto"/>
    </w:pPr>
    <w:rPr>
      <w:rFonts w:ascii="Arial" w:eastAsia="Times New Roman" w:hAnsi="Arial" w:cs="Times New Roman"/>
      <w:sz w:val="23"/>
      <w:szCs w:val="23"/>
    </w:rPr>
  </w:style>
  <w:style w:type="paragraph" w:styleId="ListBullet3">
    <w:name w:val="List Bullet 3"/>
    <w:basedOn w:val="Normal"/>
    <w:semiHidden/>
    <w:rsid w:val="00022915"/>
    <w:pPr>
      <w:keepLines/>
      <w:numPr>
        <w:numId w:val="2"/>
      </w:numPr>
      <w:spacing w:before="120" w:after="0" w:line="240" w:lineRule="auto"/>
    </w:pPr>
    <w:rPr>
      <w:rFonts w:ascii="Arial" w:eastAsia="Times New Roman" w:hAnsi="Arial" w:cs="Times New Roman"/>
      <w:sz w:val="23"/>
      <w:szCs w:val="23"/>
    </w:rPr>
  </w:style>
  <w:style w:type="paragraph" w:styleId="ListBullet4">
    <w:name w:val="List Bullet 4"/>
    <w:basedOn w:val="Normal"/>
    <w:semiHidden/>
    <w:rsid w:val="00022915"/>
    <w:pPr>
      <w:keepLines/>
      <w:numPr>
        <w:numId w:val="3"/>
      </w:numPr>
      <w:spacing w:before="120" w:after="0" w:line="240" w:lineRule="auto"/>
    </w:pPr>
    <w:rPr>
      <w:rFonts w:ascii="Arial" w:eastAsia="Times New Roman" w:hAnsi="Arial" w:cs="Times New Roman"/>
      <w:sz w:val="23"/>
      <w:szCs w:val="23"/>
    </w:rPr>
  </w:style>
  <w:style w:type="paragraph" w:styleId="ListBullet5">
    <w:name w:val="List Bullet 5"/>
    <w:basedOn w:val="Normal"/>
    <w:semiHidden/>
    <w:rsid w:val="00022915"/>
    <w:pPr>
      <w:keepLines/>
      <w:numPr>
        <w:numId w:val="4"/>
      </w:numPr>
      <w:spacing w:before="120" w:after="0" w:line="240" w:lineRule="auto"/>
    </w:pPr>
    <w:rPr>
      <w:rFonts w:ascii="Arial" w:eastAsia="Times New Roman" w:hAnsi="Arial" w:cs="Times New Roman"/>
      <w:sz w:val="23"/>
      <w:szCs w:val="23"/>
    </w:rPr>
  </w:style>
  <w:style w:type="paragraph" w:styleId="ListContinue">
    <w:name w:val="List Continue"/>
    <w:basedOn w:val="Normal"/>
    <w:semiHidden/>
    <w:rsid w:val="00022915"/>
    <w:pPr>
      <w:keepLines/>
      <w:spacing w:before="120" w:after="120" w:line="240" w:lineRule="auto"/>
      <w:ind w:left="283"/>
    </w:pPr>
    <w:rPr>
      <w:rFonts w:ascii="Arial" w:eastAsia="Times New Roman" w:hAnsi="Arial" w:cs="Times New Roman"/>
      <w:sz w:val="23"/>
      <w:szCs w:val="23"/>
    </w:rPr>
  </w:style>
  <w:style w:type="paragraph" w:styleId="ListContinue2">
    <w:name w:val="List Continue 2"/>
    <w:basedOn w:val="Normal"/>
    <w:semiHidden/>
    <w:rsid w:val="00022915"/>
    <w:pPr>
      <w:keepLines/>
      <w:spacing w:before="120" w:after="120" w:line="240" w:lineRule="auto"/>
      <w:ind w:left="566"/>
    </w:pPr>
    <w:rPr>
      <w:rFonts w:ascii="Arial" w:eastAsia="Times New Roman" w:hAnsi="Arial" w:cs="Times New Roman"/>
      <w:sz w:val="23"/>
      <w:szCs w:val="23"/>
    </w:rPr>
  </w:style>
  <w:style w:type="paragraph" w:styleId="ListContinue3">
    <w:name w:val="List Continue 3"/>
    <w:basedOn w:val="Normal"/>
    <w:semiHidden/>
    <w:rsid w:val="00022915"/>
    <w:pPr>
      <w:keepLines/>
      <w:spacing w:before="120" w:after="120" w:line="240" w:lineRule="auto"/>
      <w:ind w:left="849"/>
    </w:pPr>
    <w:rPr>
      <w:rFonts w:ascii="Arial" w:eastAsia="Times New Roman" w:hAnsi="Arial" w:cs="Times New Roman"/>
      <w:sz w:val="23"/>
      <w:szCs w:val="23"/>
    </w:rPr>
  </w:style>
  <w:style w:type="paragraph" w:styleId="ListContinue4">
    <w:name w:val="List Continue 4"/>
    <w:basedOn w:val="Normal"/>
    <w:semiHidden/>
    <w:rsid w:val="00022915"/>
    <w:pPr>
      <w:keepLines/>
      <w:spacing w:before="120" w:after="120" w:line="240" w:lineRule="auto"/>
      <w:ind w:left="1132"/>
    </w:pPr>
    <w:rPr>
      <w:rFonts w:ascii="Arial" w:eastAsia="Times New Roman" w:hAnsi="Arial" w:cs="Times New Roman"/>
      <w:sz w:val="23"/>
      <w:szCs w:val="23"/>
    </w:rPr>
  </w:style>
  <w:style w:type="paragraph" w:styleId="ListContinue5">
    <w:name w:val="List Continue 5"/>
    <w:basedOn w:val="Normal"/>
    <w:semiHidden/>
    <w:rsid w:val="00022915"/>
    <w:pPr>
      <w:keepLines/>
      <w:spacing w:before="120" w:after="120" w:line="240" w:lineRule="auto"/>
      <w:ind w:left="1415"/>
    </w:pPr>
    <w:rPr>
      <w:rFonts w:ascii="Arial" w:eastAsia="Times New Roman" w:hAnsi="Arial" w:cs="Times New Roman"/>
      <w:sz w:val="23"/>
      <w:szCs w:val="23"/>
    </w:rPr>
  </w:style>
  <w:style w:type="paragraph" w:styleId="ListNumber">
    <w:name w:val="List Number"/>
    <w:basedOn w:val="Normal"/>
    <w:rsid w:val="00022915"/>
    <w:pPr>
      <w:keepLines/>
      <w:numPr>
        <w:numId w:val="5"/>
      </w:numPr>
      <w:spacing w:before="120" w:after="0" w:line="240" w:lineRule="auto"/>
    </w:pPr>
    <w:rPr>
      <w:rFonts w:ascii="Arial" w:eastAsia="Times New Roman" w:hAnsi="Arial" w:cs="Times New Roman"/>
      <w:sz w:val="23"/>
      <w:szCs w:val="23"/>
    </w:rPr>
  </w:style>
  <w:style w:type="paragraph" w:styleId="ListNumber2">
    <w:name w:val="List Number 2"/>
    <w:basedOn w:val="Normal"/>
    <w:rsid w:val="00022915"/>
    <w:pPr>
      <w:keepLines/>
      <w:numPr>
        <w:numId w:val="6"/>
      </w:numPr>
      <w:spacing w:before="120" w:after="0" w:line="240" w:lineRule="auto"/>
    </w:pPr>
    <w:rPr>
      <w:rFonts w:ascii="Arial" w:eastAsia="Times New Roman" w:hAnsi="Arial" w:cs="Times New Roman"/>
      <w:sz w:val="23"/>
      <w:szCs w:val="23"/>
    </w:rPr>
  </w:style>
  <w:style w:type="paragraph" w:styleId="ListNumber3">
    <w:name w:val="List Number 3"/>
    <w:basedOn w:val="Normal"/>
    <w:semiHidden/>
    <w:rsid w:val="00022915"/>
    <w:pPr>
      <w:keepLines/>
      <w:numPr>
        <w:numId w:val="7"/>
      </w:numPr>
      <w:spacing w:before="120" w:after="0" w:line="240" w:lineRule="auto"/>
    </w:pPr>
    <w:rPr>
      <w:rFonts w:ascii="Arial" w:eastAsia="Times New Roman" w:hAnsi="Arial" w:cs="Times New Roman"/>
      <w:sz w:val="23"/>
      <w:szCs w:val="23"/>
    </w:rPr>
  </w:style>
  <w:style w:type="paragraph" w:styleId="ListNumber4">
    <w:name w:val="List Number 4"/>
    <w:basedOn w:val="Normal"/>
    <w:semiHidden/>
    <w:rsid w:val="00022915"/>
    <w:pPr>
      <w:keepLines/>
      <w:numPr>
        <w:numId w:val="8"/>
      </w:numPr>
      <w:spacing w:before="120" w:after="0" w:line="240" w:lineRule="auto"/>
    </w:pPr>
    <w:rPr>
      <w:rFonts w:ascii="Arial" w:eastAsia="Times New Roman" w:hAnsi="Arial" w:cs="Times New Roman"/>
      <w:sz w:val="23"/>
      <w:szCs w:val="23"/>
    </w:rPr>
  </w:style>
  <w:style w:type="paragraph" w:styleId="ListNumber5">
    <w:name w:val="List Number 5"/>
    <w:basedOn w:val="Normal"/>
    <w:semiHidden/>
    <w:rsid w:val="00022915"/>
    <w:pPr>
      <w:keepLines/>
      <w:numPr>
        <w:numId w:val="9"/>
      </w:numPr>
      <w:spacing w:before="120" w:after="0" w:line="240" w:lineRule="auto"/>
    </w:pPr>
    <w:rPr>
      <w:rFonts w:ascii="Arial" w:eastAsia="Times New Roman" w:hAnsi="Arial" w:cs="Times New Roman"/>
      <w:sz w:val="23"/>
      <w:szCs w:val="23"/>
    </w:rPr>
  </w:style>
  <w:style w:type="paragraph" w:styleId="MessageHeader">
    <w:name w:val="Message Header"/>
    <w:basedOn w:val="Normal"/>
    <w:link w:val="MessageHeaderChar"/>
    <w:semiHidden/>
    <w:rsid w:val="00022915"/>
    <w:pPr>
      <w:keepLines/>
      <w:pBdr>
        <w:top w:val="single" w:sz="6" w:space="1" w:color="auto"/>
        <w:left w:val="single" w:sz="6" w:space="1" w:color="auto"/>
        <w:bottom w:val="single" w:sz="6" w:space="1" w:color="auto"/>
        <w:right w:val="single" w:sz="6" w:space="1" w:color="auto"/>
      </w:pBdr>
      <w:shd w:val="pct20" w:color="auto" w:fill="auto"/>
      <w:spacing w:before="120" w:after="0" w:line="240" w:lineRule="auto"/>
      <w:ind w:left="1134" w:hanging="1134"/>
    </w:pPr>
    <w:rPr>
      <w:rFonts w:ascii="Arial" w:eastAsia="Times New Roman" w:hAnsi="Arial" w:cs="Arial"/>
      <w:sz w:val="23"/>
      <w:szCs w:val="23"/>
    </w:rPr>
  </w:style>
  <w:style w:type="character" w:customStyle="1" w:styleId="MessageHeaderChar">
    <w:name w:val="Message Header Char"/>
    <w:basedOn w:val="DefaultParagraphFont"/>
    <w:link w:val="MessageHeader"/>
    <w:semiHidden/>
    <w:rsid w:val="00022915"/>
    <w:rPr>
      <w:rFonts w:ascii="Arial" w:eastAsia="Times New Roman" w:hAnsi="Arial" w:cs="Arial"/>
      <w:sz w:val="23"/>
      <w:szCs w:val="23"/>
      <w:shd w:val="pct20" w:color="auto" w:fill="auto"/>
    </w:rPr>
  </w:style>
  <w:style w:type="paragraph" w:styleId="NormalWeb">
    <w:name w:val="Normal (Web)"/>
    <w:basedOn w:val="Normal"/>
    <w:uiPriority w:val="99"/>
    <w:semiHidden/>
    <w:rsid w:val="00022915"/>
    <w:pPr>
      <w:keepLines/>
      <w:spacing w:before="120" w:after="0" w:line="240" w:lineRule="auto"/>
    </w:pPr>
    <w:rPr>
      <w:rFonts w:ascii="Times New Roman" w:eastAsia="Times New Roman" w:hAnsi="Times New Roman" w:cs="Times New Roman"/>
      <w:sz w:val="23"/>
      <w:szCs w:val="23"/>
    </w:rPr>
  </w:style>
  <w:style w:type="paragraph" w:styleId="NoteHeading">
    <w:name w:val="Note Heading"/>
    <w:basedOn w:val="Normal"/>
    <w:next w:val="Normal"/>
    <w:link w:val="NoteHeadingChar"/>
    <w:semiHidden/>
    <w:rsid w:val="00022915"/>
    <w:pPr>
      <w:keepLines/>
      <w:spacing w:before="120" w:after="0" w:line="240" w:lineRule="auto"/>
    </w:pPr>
    <w:rPr>
      <w:rFonts w:ascii="Arial" w:eastAsia="Times New Roman" w:hAnsi="Arial" w:cs="Times New Roman"/>
      <w:sz w:val="23"/>
      <w:szCs w:val="23"/>
    </w:rPr>
  </w:style>
  <w:style w:type="character" w:customStyle="1" w:styleId="NoteHeadingChar">
    <w:name w:val="Note Heading Char"/>
    <w:basedOn w:val="DefaultParagraphFont"/>
    <w:link w:val="NoteHeading"/>
    <w:semiHidden/>
    <w:rsid w:val="00022915"/>
    <w:rPr>
      <w:rFonts w:ascii="Arial" w:eastAsia="Times New Roman" w:hAnsi="Arial" w:cs="Times New Roman"/>
      <w:sz w:val="23"/>
      <w:szCs w:val="23"/>
    </w:rPr>
  </w:style>
  <w:style w:type="character" w:styleId="PageNumber">
    <w:name w:val="page number"/>
    <w:basedOn w:val="DefaultParagraphFont"/>
    <w:rsid w:val="00022915"/>
  </w:style>
  <w:style w:type="paragraph" w:styleId="PlainText">
    <w:name w:val="Plain Text"/>
    <w:basedOn w:val="Normal"/>
    <w:link w:val="PlainTextChar"/>
    <w:semiHidden/>
    <w:rsid w:val="00022915"/>
    <w:pPr>
      <w:keepLines/>
      <w:spacing w:before="120"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022915"/>
    <w:rPr>
      <w:rFonts w:ascii="Courier New" w:eastAsia="Times New Roman" w:hAnsi="Courier New" w:cs="Courier New"/>
      <w:sz w:val="20"/>
      <w:szCs w:val="20"/>
    </w:rPr>
  </w:style>
  <w:style w:type="paragraph" w:styleId="Salutation">
    <w:name w:val="Salutation"/>
    <w:basedOn w:val="Normal"/>
    <w:next w:val="Normal"/>
    <w:link w:val="SalutationChar"/>
    <w:semiHidden/>
    <w:rsid w:val="00022915"/>
    <w:pPr>
      <w:keepLines/>
      <w:spacing w:before="120" w:after="0" w:line="240" w:lineRule="auto"/>
    </w:pPr>
    <w:rPr>
      <w:rFonts w:ascii="Arial" w:eastAsia="Times New Roman" w:hAnsi="Arial" w:cs="Times New Roman"/>
      <w:sz w:val="23"/>
      <w:szCs w:val="23"/>
    </w:rPr>
  </w:style>
  <w:style w:type="character" w:customStyle="1" w:styleId="SalutationChar">
    <w:name w:val="Salutation Char"/>
    <w:basedOn w:val="DefaultParagraphFont"/>
    <w:link w:val="Salutation"/>
    <w:semiHidden/>
    <w:rsid w:val="00022915"/>
    <w:rPr>
      <w:rFonts w:ascii="Arial" w:eastAsia="Times New Roman" w:hAnsi="Arial" w:cs="Times New Roman"/>
      <w:sz w:val="23"/>
      <w:szCs w:val="23"/>
    </w:rPr>
  </w:style>
  <w:style w:type="paragraph" w:styleId="Signature">
    <w:name w:val="Signature"/>
    <w:basedOn w:val="Normal"/>
    <w:link w:val="SignatureChar"/>
    <w:semiHidden/>
    <w:rsid w:val="00022915"/>
    <w:pPr>
      <w:keepLines/>
      <w:spacing w:before="120" w:after="0" w:line="240" w:lineRule="auto"/>
      <w:ind w:left="4252"/>
    </w:pPr>
    <w:rPr>
      <w:rFonts w:ascii="Arial" w:eastAsia="Times New Roman" w:hAnsi="Arial" w:cs="Times New Roman"/>
      <w:sz w:val="23"/>
      <w:szCs w:val="23"/>
    </w:rPr>
  </w:style>
  <w:style w:type="character" w:customStyle="1" w:styleId="SignatureChar">
    <w:name w:val="Signature Char"/>
    <w:basedOn w:val="DefaultParagraphFont"/>
    <w:link w:val="Signature"/>
    <w:semiHidden/>
    <w:rsid w:val="00022915"/>
    <w:rPr>
      <w:rFonts w:ascii="Arial" w:eastAsia="Times New Roman" w:hAnsi="Arial" w:cs="Times New Roman"/>
      <w:sz w:val="23"/>
      <w:szCs w:val="23"/>
    </w:rPr>
  </w:style>
  <w:style w:type="character" w:styleId="Strong">
    <w:name w:val="Strong"/>
    <w:basedOn w:val="DefaultParagraphFont"/>
    <w:uiPriority w:val="22"/>
    <w:qFormat/>
    <w:rsid w:val="00022915"/>
    <w:rPr>
      <w:b/>
      <w:bCs/>
    </w:rPr>
  </w:style>
  <w:style w:type="paragraph" w:styleId="Subtitle">
    <w:name w:val="Subtitle"/>
    <w:basedOn w:val="Normal"/>
    <w:link w:val="SubtitleChar"/>
    <w:qFormat/>
    <w:rsid w:val="00022915"/>
    <w:pPr>
      <w:keepLines/>
      <w:spacing w:before="120" w:after="0" w:line="240" w:lineRule="auto"/>
      <w:outlineLvl w:val="1"/>
    </w:pPr>
    <w:rPr>
      <w:rFonts w:ascii="Arial" w:eastAsia="Times New Roman" w:hAnsi="Arial" w:cs="Arial"/>
      <w:sz w:val="23"/>
      <w:szCs w:val="23"/>
    </w:rPr>
  </w:style>
  <w:style w:type="character" w:customStyle="1" w:styleId="SubtitleChar">
    <w:name w:val="Subtitle Char"/>
    <w:basedOn w:val="DefaultParagraphFont"/>
    <w:link w:val="Subtitle"/>
    <w:rsid w:val="00022915"/>
    <w:rPr>
      <w:rFonts w:ascii="Arial" w:eastAsia="Times New Roman" w:hAnsi="Arial" w:cs="Arial"/>
      <w:sz w:val="23"/>
      <w:szCs w:val="23"/>
    </w:rPr>
  </w:style>
  <w:style w:type="table" w:styleId="Table3Deffects1">
    <w:name w:val="Table 3D effects 1"/>
    <w:basedOn w:val="TableNormal"/>
    <w:semiHidden/>
    <w:rsid w:val="00022915"/>
    <w:pPr>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22915"/>
    <w:pPr>
      <w:spacing w:after="0" w:line="240" w:lineRule="auto"/>
    </w:pPr>
    <w:rPr>
      <w:rFonts w:ascii="Times New Roman" w:eastAsia="Times New Roman" w:hAnsi="Times New Roman" w:cs="Times New Roman"/>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22915"/>
    <w:pPr>
      <w:spacing w:after="0" w:line="240" w:lineRule="auto"/>
    </w:pPr>
    <w:rPr>
      <w:rFonts w:ascii="Times New Roman" w:eastAsia="Times New Roman" w:hAnsi="Times New Roman"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22915"/>
    <w:pPr>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22915"/>
    <w:pPr>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22915"/>
    <w:pPr>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22915"/>
    <w:pPr>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22915"/>
    <w:pPr>
      <w:spacing w:after="0" w:line="240" w:lineRule="auto"/>
    </w:pPr>
    <w:rPr>
      <w:rFonts w:ascii="Times New Roman" w:eastAsia="Times New Roman" w:hAnsi="Times New Roman" w:cs="Times New Roma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22915"/>
    <w:pPr>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22915"/>
    <w:pPr>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22915"/>
    <w:pPr>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22915"/>
    <w:pPr>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22915"/>
    <w:pPr>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22915"/>
    <w:pPr>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22915"/>
    <w:pPr>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22915"/>
    <w:pPr>
      <w:spacing w:after="0" w:line="240" w:lineRule="auto"/>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22915"/>
    <w:pPr>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2291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22915"/>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22915"/>
    <w:pPr>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22915"/>
    <w:pPr>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22915"/>
    <w:pPr>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22915"/>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22915"/>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22915"/>
    <w:pPr>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22915"/>
    <w:pPr>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22915"/>
    <w:pPr>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22915"/>
    <w:pPr>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22915"/>
    <w:pPr>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22915"/>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22915"/>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22915"/>
    <w:pPr>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22915"/>
    <w:pPr>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22915"/>
    <w:pPr>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1">
    <w:name w:val="Table Simple 1"/>
    <w:basedOn w:val="TableNormal"/>
    <w:rsid w:val="00022915"/>
    <w:pPr>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22915"/>
    <w:pPr>
      <w:spacing w:after="0" w:line="240" w:lineRule="auto"/>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22915"/>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22915"/>
    <w:pPr>
      <w:spacing w:after="0" w:line="240" w:lineRule="auto"/>
    </w:pPr>
    <w:rPr>
      <w:rFonts w:ascii="Times New Roman" w:eastAsia="Times New Roman" w:hAnsi="Times New Roman" w:cs="Times New Roman"/>
      <w:sz w:val="20"/>
      <w:szCs w:val="20"/>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22915"/>
    <w:pPr>
      <w:spacing w:after="0" w:line="240" w:lineRule="auto"/>
    </w:pPr>
    <w:rPr>
      <w:rFonts w:ascii="Times New Roman" w:eastAsia="Times New Roman" w:hAnsi="Times New Roman" w:cs="Times New Roman"/>
      <w:sz w:val="20"/>
      <w:szCs w:val="20"/>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2291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22915"/>
    <w:pPr>
      <w:spacing w:after="0" w:line="240" w:lineRule="auto"/>
    </w:pPr>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22915"/>
    <w:pPr>
      <w:spacing w:after="0" w:line="240" w:lineRule="auto"/>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22915"/>
    <w:pPr>
      <w:spacing w:after="0" w:line="240" w:lineRule="auto"/>
    </w:pPr>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ndnoteReference">
    <w:name w:val="endnote reference"/>
    <w:basedOn w:val="DefaultParagraphFont"/>
    <w:semiHidden/>
    <w:rsid w:val="00022915"/>
    <w:rPr>
      <w:vertAlign w:val="superscript"/>
    </w:rPr>
  </w:style>
  <w:style w:type="paragraph" w:styleId="Title">
    <w:name w:val="Title"/>
    <w:basedOn w:val="Normal"/>
    <w:link w:val="TitleChar"/>
    <w:qFormat/>
    <w:rsid w:val="00022915"/>
    <w:pPr>
      <w:keepNext/>
      <w:keepLines/>
      <w:spacing w:before="1140" w:after="120" w:line="240" w:lineRule="auto"/>
      <w:outlineLvl w:val="0"/>
    </w:pPr>
    <w:rPr>
      <w:rFonts w:ascii="Trebuchet MS" w:eastAsia="Times New Roman" w:hAnsi="Trebuchet MS" w:cs="Arial"/>
      <w:bCs/>
      <w:spacing w:val="26"/>
      <w:kern w:val="28"/>
      <w:sz w:val="40"/>
      <w:szCs w:val="40"/>
    </w:rPr>
  </w:style>
  <w:style w:type="character" w:customStyle="1" w:styleId="TitleChar">
    <w:name w:val="Title Char"/>
    <w:basedOn w:val="DefaultParagraphFont"/>
    <w:link w:val="Title"/>
    <w:rsid w:val="00022915"/>
    <w:rPr>
      <w:rFonts w:ascii="Trebuchet MS" w:eastAsia="Times New Roman" w:hAnsi="Trebuchet MS" w:cs="Arial"/>
      <w:bCs/>
      <w:spacing w:val="26"/>
      <w:kern w:val="28"/>
      <w:sz w:val="40"/>
      <w:szCs w:val="40"/>
    </w:rPr>
  </w:style>
  <w:style w:type="paragraph" w:customStyle="1" w:styleId="Heading1nonumbering">
    <w:name w:val="Heading 1 no numbering"/>
    <w:basedOn w:val="Heading1"/>
    <w:next w:val="Normal"/>
    <w:rsid w:val="00022915"/>
    <w:pPr>
      <w:numPr>
        <w:numId w:val="0"/>
      </w:numPr>
    </w:pPr>
  </w:style>
  <w:style w:type="paragraph" w:customStyle="1" w:styleId="BodyTextHanging">
    <w:name w:val="Body Text Hanging"/>
    <w:basedOn w:val="Normal"/>
    <w:rsid w:val="00022915"/>
    <w:pPr>
      <w:keepLines/>
      <w:spacing w:before="120" w:after="120" w:line="300" w:lineRule="atLeast"/>
      <w:ind w:left="480" w:hanging="480"/>
    </w:pPr>
    <w:rPr>
      <w:rFonts w:ascii="Arial" w:eastAsia="Times New Roman" w:hAnsi="Arial" w:cs="Times New Roman"/>
      <w:sz w:val="23"/>
      <w:szCs w:val="21"/>
    </w:rPr>
  </w:style>
  <w:style w:type="paragraph" w:customStyle="1" w:styleId="Heading2nonumbering">
    <w:name w:val="Heading 2 no numbering"/>
    <w:basedOn w:val="Heading2"/>
    <w:next w:val="Normal"/>
    <w:rsid w:val="00022915"/>
    <w:pPr>
      <w:numPr>
        <w:ilvl w:val="0"/>
        <w:numId w:val="0"/>
      </w:numPr>
    </w:pPr>
  </w:style>
  <w:style w:type="character" w:styleId="FootnoteReference">
    <w:name w:val="footnote reference"/>
    <w:basedOn w:val="DefaultParagraphFont"/>
    <w:uiPriority w:val="99"/>
    <w:rsid w:val="00022915"/>
    <w:rPr>
      <w:vertAlign w:val="superscript"/>
    </w:rPr>
  </w:style>
  <w:style w:type="character" w:customStyle="1" w:styleId="BodyTextItalics">
    <w:name w:val="Body Text Italics"/>
    <w:basedOn w:val="DefaultParagraphFont"/>
    <w:rsid w:val="00022915"/>
    <w:rPr>
      <w:rFonts w:ascii="Arial" w:hAnsi="Arial"/>
      <w:i/>
      <w:sz w:val="24"/>
      <w:szCs w:val="24"/>
    </w:rPr>
  </w:style>
  <w:style w:type="paragraph" w:customStyle="1" w:styleId="BulletOne">
    <w:name w:val="Bullet One"/>
    <w:basedOn w:val="Normal"/>
    <w:semiHidden/>
    <w:rsid w:val="00022915"/>
    <w:pPr>
      <w:keepLines/>
      <w:tabs>
        <w:tab w:val="num" w:pos="1494"/>
      </w:tabs>
      <w:spacing w:before="60" w:after="60" w:line="240" w:lineRule="auto"/>
      <w:ind w:left="1494" w:hanging="360"/>
    </w:pPr>
    <w:rPr>
      <w:rFonts w:ascii="Times New Roman" w:eastAsia="Times New Roman" w:hAnsi="Times New Roman" w:cs="Times New Roman"/>
      <w:sz w:val="20"/>
      <w:szCs w:val="20"/>
    </w:rPr>
  </w:style>
  <w:style w:type="paragraph" w:customStyle="1" w:styleId="BulletTwo">
    <w:name w:val="Bullet Two"/>
    <w:basedOn w:val="Normal"/>
    <w:semiHidden/>
    <w:rsid w:val="00022915"/>
    <w:pPr>
      <w:keepLines/>
      <w:tabs>
        <w:tab w:val="num" w:pos="1854"/>
      </w:tabs>
      <w:spacing w:before="60" w:after="60" w:line="240" w:lineRule="auto"/>
      <w:ind w:left="1854" w:hanging="360"/>
    </w:pPr>
    <w:rPr>
      <w:rFonts w:ascii="Times New Roman" w:eastAsia="Times New Roman" w:hAnsi="Times New Roman" w:cs="Times New Roman"/>
      <w:sz w:val="20"/>
      <w:szCs w:val="20"/>
    </w:rPr>
  </w:style>
  <w:style w:type="paragraph" w:customStyle="1" w:styleId="TableText">
    <w:name w:val="TableText"/>
    <w:basedOn w:val="Normal"/>
    <w:rsid w:val="00022915"/>
    <w:pPr>
      <w:keepLines/>
      <w:spacing w:after="0" w:line="240" w:lineRule="auto"/>
    </w:pPr>
    <w:rPr>
      <w:rFonts w:ascii="Arial" w:eastAsia="Times New Roman" w:hAnsi="Arial" w:cs="Times New Roman"/>
      <w:sz w:val="21"/>
      <w:szCs w:val="21"/>
    </w:rPr>
  </w:style>
  <w:style w:type="paragraph" w:customStyle="1" w:styleId="TableHeading">
    <w:name w:val="TableHeading"/>
    <w:basedOn w:val="Normal"/>
    <w:next w:val="TableText"/>
    <w:rsid w:val="00022915"/>
    <w:pPr>
      <w:keepLines/>
      <w:spacing w:before="240" w:after="0" w:line="300" w:lineRule="atLeast"/>
      <w:jc w:val="center"/>
    </w:pPr>
    <w:rPr>
      <w:rFonts w:ascii="Arial" w:eastAsia="Times New Roman" w:hAnsi="Arial" w:cs="Times New Roman"/>
      <w:b/>
      <w:sz w:val="21"/>
      <w:szCs w:val="21"/>
    </w:rPr>
  </w:style>
  <w:style w:type="paragraph" w:styleId="FootnoteText">
    <w:name w:val="footnote text"/>
    <w:basedOn w:val="Normal"/>
    <w:link w:val="FootnoteTextChar"/>
    <w:uiPriority w:val="99"/>
    <w:rsid w:val="00022915"/>
    <w:pPr>
      <w:keepLines/>
      <w:spacing w:before="40" w:after="240" w:line="240" w:lineRule="auto"/>
      <w:ind w:left="284" w:hanging="284"/>
      <w:contextualSpacing/>
    </w:pPr>
    <w:rPr>
      <w:rFonts w:ascii="Arial" w:eastAsia="Times New Roman" w:hAnsi="Arial" w:cs="Times New Roman"/>
      <w:sz w:val="18"/>
      <w:szCs w:val="20"/>
    </w:rPr>
  </w:style>
  <w:style w:type="character" w:customStyle="1" w:styleId="FootnoteTextChar">
    <w:name w:val="Footnote Text Char"/>
    <w:basedOn w:val="DefaultParagraphFont"/>
    <w:link w:val="FootnoteText"/>
    <w:uiPriority w:val="99"/>
    <w:rsid w:val="00022915"/>
    <w:rPr>
      <w:rFonts w:ascii="Arial" w:eastAsia="Times New Roman" w:hAnsi="Arial" w:cs="Times New Roman"/>
      <w:sz w:val="18"/>
      <w:szCs w:val="20"/>
    </w:rPr>
  </w:style>
  <w:style w:type="paragraph" w:customStyle="1" w:styleId="Bullet2">
    <w:name w:val="Bullet2"/>
    <w:aliases w:val="b2"/>
    <w:basedOn w:val="Normal"/>
    <w:semiHidden/>
    <w:rsid w:val="00022915"/>
    <w:pPr>
      <w:keepLines/>
      <w:numPr>
        <w:numId w:val="13"/>
      </w:numPr>
      <w:tabs>
        <w:tab w:val="clear" w:pos="644"/>
        <w:tab w:val="left" w:pos="567"/>
      </w:tabs>
      <w:spacing w:after="60" w:line="280" w:lineRule="atLeast"/>
    </w:pPr>
    <w:rPr>
      <w:rFonts w:ascii="Arial" w:eastAsia="Times New Roman" w:hAnsi="Arial" w:cs="Times New Roman"/>
      <w:sz w:val="20"/>
      <w:szCs w:val="20"/>
    </w:rPr>
  </w:style>
  <w:style w:type="paragraph" w:customStyle="1" w:styleId="Appendix">
    <w:name w:val="Appendix"/>
    <w:basedOn w:val="Heading2nonumbering"/>
    <w:next w:val="Normal"/>
    <w:rsid w:val="00022915"/>
    <w:pPr>
      <w:pageBreakBefore/>
    </w:pPr>
  </w:style>
  <w:style w:type="paragraph" w:customStyle="1" w:styleId="TableRows">
    <w:name w:val="TableRows"/>
    <w:basedOn w:val="Normal"/>
    <w:semiHidden/>
    <w:rsid w:val="00022915"/>
    <w:pPr>
      <w:keepLines/>
      <w:spacing w:before="40" w:after="40" w:line="288" w:lineRule="auto"/>
    </w:pPr>
    <w:rPr>
      <w:rFonts w:ascii="Arial" w:eastAsia="Times New Roman" w:hAnsi="Arial" w:cs="Times New Roman"/>
      <w:sz w:val="20"/>
      <w:szCs w:val="23"/>
    </w:rPr>
  </w:style>
  <w:style w:type="paragraph" w:customStyle="1" w:styleId="TableHeadings">
    <w:name w:val="TableHeadings"/>
    <w:basedOn w:val="Normal"/>
    <w:semiHidden/>
    <w:rsid w:val="00022915"/>
    <w:pPr>
      <w:keepLines/>
      <w:spacing w:before="60" w:after="60" w:line="288" w:lineRule="auto"/>
      <w:jc w:val="center"/>
    </w:pPr>
    <w:rPr>
      <w:rFonts w:ascii="Arial Black" w:eastAsia="Times New Roman" w:hAnsi="Arial Black" w:cs="Times New Roman"/>
      <w:sz w:val="20"/>
      <w:szCs w:val="23"/>
    </w:rPr>
  </w:style>
  <w:style w:type="paragraph" w:customStyle="1" w:styleId="TableHead">
    <w:name w:val="Table Head"/>
    <w:aliases w:val="th"/>
    <w:basedOn w:val="Normal"/>
    <w:semiHidden/>
    <w:rsid w:val="00022915"/>
    <w:pPr>
      <w:keepNext/>
      <w:keepLines/>
      <w:spacing w:before="120" w:after="60" w:line="240" w:lineRule="auto"/>
    </w:pPr>
    <w:rPr>
      <w:rFonts w:ascii="Arial" w:eastAsia="Times New Roman" w:hAnsi="Arial" w:cs="Times New Roman"/>
      <w:b/>
      <w:bCs/>
      <w:sz w:val="20"/>
      <w:szCs w:val="20"/>
    </w:rPr>
  </w:style>
  <w:style w:type="paragraph" w:customStyle="1" w:styleId="TableBody">
    <w:name w:val="Table Body"/>
    <w:aliases w:val="tb"/>
    <w:basedOn w:val="Normal"/>
    <w:semiHidden/>
    <w:rsid w:val="00022915"/>
    <w:pPr>
      <w:keepLines/>
      <w:spacing w:before="120" w:after="60" w:line="240" w:lineRule="auto"/>
    </w:pPr>
    <w:rPr>
      <w:rFonts w:ascii="Arial" w:eastAsia="Times New Roman" w:hAnsi="Arial" w:cs="Times New Roman"/>
      <w:sz w:val="20"/>
      <w:szCs w:val="20"/>
    </w:rPr>
  </w:style>
  <w:style w:type="paragraph" w:styleId="TOC4">
    <w:name w:val="toc 4"/>
    <w:basedOn w:val="TOC3"/>
    <w:next w:val="Normal"/>
    <w:rsid w:val="00022915"/>
    <w:rPr>
      <w:i/>
    </w:rPr>
  </w:style>
  <w:style w:type="paragraph" w:styleId="TOC5">
    <w:name w:val="toc 5"/>
    <w:basedOn w:val="Normal"/>
    <w:next w:val="Normal"/>
    <w:autoRedefine/>
    <w:semiHidden/>
    <w:rsid w:val="00022915"/>
    <w:pPr>
      <w:keepLines/>
      <w:spacing w:after="0" w:line="240" w:lineRule="auto"/>
      <w:ind w:left="960"/>
    </w:pPr>
    <w:rPr>
      <w:rFonts w:ascii="Times New Roman" w:eastAsia="Times New Roman" w:hAnsi="Times New Roman" w:cs="Times New Roman"/>
      <w:sz w:val="23"/>
      <w:szCs w:val="23"/>
      <w:lang w:eastAsia="en-AU"/>
    </w:rPr>
  </w:style>
  <w:style w:type="paragraph" w:styleId="TOC6">
    <w:name w:val="toc 6"/>
    <w:basedOn w:val="Normal"/>
    <w:next w:val="Normal"/>
    <w:autoRedefine/>
    <w:semiHidden/>
    <w:rsid w:val="00022915"/>
    <w:pPr>
      <w:keepLines/>
      <w:spacing w:after="0" w:line="240" w:lineRule="auto"/>
      <w:ind w:left="1200"/>
    </w:pPr>
    <w:rPr>
      <w:rFonts w:ascii="Times New Roman" w:eastAsia="Times New Roman" w:hAnsi="Times New Roman" w:cs="Times New Roman"/>
      <w:sz w:val="23"/>
      <w:szCs w:val="23"/>
      <w:lang w:eastAsia="en-AU"/>
    </w:rPr>
  </w:style>
  <w:style w:type="paragraph" w:styleId="TOC7">
    <w:name w:val="toc 7"/>
    <w:basedOn w:val="Normal"/>
    <w:next w:val="Normal"/>
    <w:autoRedefine/>
    <w:semiHidden/>
    <w:rsid w:val="00022915"/>
    <w:pPr>
      <w:keepLines/>
      <w:spacing w:after="0" w:line="240" w:lineRule="auto"/>
      <w:ind w:left="1440"/>
    </w:pPr>
    <w:rPr>
      <w:rFonts w:ascii="Times New Roman" w:eastAsia="Times New Roman" w:hAnsi="Times New Roman" w:cs="Times New Roman"/>
      <w:sz w:val="23"/>
      <w:szCs w:val="23"/>
      <w:lang w:eastAsia="en-AU"/>
    </w:rPr>
  </w:style>
  <w:style w:type="paragraph" w:styleId="TOC8">
    <w:name w:val="toc 8"/>
    <w:basedOn w:val="Normal"/>
    <w:next w:val="Normal"/>
    <w:autoRedefine/>
    <w:semiHidden/>
    <w:rsid w:val="00022915"/>
    <w:pPr>
      <w:keepLines/>
      <w:spacing w:after="0" w:line="240" w:lineRule="auto"/>
      <w:ind w:left="1680"/>
    </w:pPr>
    <w:rPr>
      <w:rFonts w:ascii="Times New Roman" w:eastAsia="Times New Roman" w:hAnsi="Times New Roman" w:cs="Times New Roman"/>
      <w:sz w:val="23"/>
      <w:szCs w:val="23"/>
      <w:lang w:eastAsia="en-AU"/>
    </w:rPr>
  </w:style>
  <w:style w:type="paragraph" w:styleId="TOC9">
    <w:name w:val="toc 9"/>
    <w:basedOn w:val="Normal"/>
    <w:next w:val="Normal"/>
    <w:autoRedefine/>
    <w:semiHidden/>
    <w:rsid w:val="00022915"/>
    <w:pPr>
      <w:keepLines/>
      <w:spacing w:after="0" w:line="240" w:lineRule="auto"/>
      <w:ind w:left="1920"/>
    </w:pPr>
    <w:rPr>
      <w:rFonts w:ascii="Times New Roman" w:eastAsia="Times New Roman" w:hAnsi="Times New Roman" w:cs="Times New Roman"/>
      <w:sz w:val="23"/>
      <w:szCs w:val="23"/>
      <w:lang w:eastAsia="en-AU"/>
    </w:rPr>
  </w:style>
  <w:style w:type="paragraph" w:styleId="DocumentMap">
    <w:name w:val="Document Map"/>
    <w:basedOn w:val="Normal"/>
    <w:link w:val="DocumentMapChar"/>
    <w:semiHidden/>
    <w:rsid w:val="00022915"/>
    <w:pPr>
      <w:keepLines/>
      <w:shd w:val="clear" w:color="auto" w:fill="000080"/>
      <w:spacing w:before="120"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022915"/>
    <w:rPr>
      <w:rFonts w:ascii="Tahoma" w:eastAsia="Times New Roman" w:hAnsi="Tahoma" w:cs="Tahoma"/>
      <w:sz w:val="20"/>
      <w:szCs w:val="20"/>
      <w:shd w:val="clear" w:color="auto" w:fill="000080"/>
    </w:rPr>
  </w:style>
  <w:style w:type="paragraph" w:customStyle="1" w:styleId="Imprinttext">
    <w:name w:val="Imprint text"/>
    <w:basedOn w:val="Normal"/>
    <w:qFormat/>
    <w:rsid w:val="00022915"/>
    <w:pPr>
      <w:keepLines/>
      <w:spacing w:before="120" w:after="120" w:line="300" w:lineRule="atLeast"/>
    </w:pPr>
    <w:rPr>
      <w:rFonts w:ascii="Arial" w:eastAsia="Times New Roman" w:hAnsi="Arial" w:cs="Times New Roman"/>
      <w:szCs w:val="23"/>
    </w:rPr>
  </w:style>
  <w:style w:type="paragraph" w:customStyle="1" w:styleId="ImprinttextSCT">
    <w:name w:val="Imprint text SCT"/>
    <w:basedOn w:val="Normal"/>
    <w:qFormat/>
    <w:rsid w:val="00022915"/>
    <w:pPr>
      <w:keepLines/>
      <w:spacing w:before="120" w:after="120" w:line="300" w:lineRule="atLeast"/>
    </w:pPr>
    <w:rPr>
      <w:rFonts w:ascii="Arial" w:eastAsia="Times New Roman" w:hAnsi="Arial" w:cs="Times New Roman"/>
      <w:sz w:val="20"/>
      <w:szCs w:val="23"/>
    </w:rPr>
  </w:style>
  <w:style w:type="paragraph" w:customStyle="1" w:styleId="Indent1">
    <w:name w:val="Indent 1"/>
    <w:basedOn w:val="Normal"/>
    <w:qFormat/>
    <w:rsid w:val="00022915"/>
    <w:pPr>
      <w:keepLines/>
      <w:spacing w:before="120" w:after="0" w:line="240" w:lineRule="auto"/>
      <w:ind w:left="360"/>
    </w:pPr>
    <w:rPr>
      <w:rFonts w:ascii="Arial" w:eastAsia="Times New Roman" w:hAnsi="Arial" w:cs="Times New Roman"/>
      <w:sz w:val="23"/>
      <w:szCs w:val="23"/>
    </w:rPr>
  </w:style>
  <w:style w:type="paragraph" w:customStyle="1" w:styleId="Tabletext0">
    <w:name w:val="Table text"/>
    <w:qFormat/>
    <w:rsid w:val="00022915"/>
    <w:pPr>
      <w:spacing w:after="60" w:line="240" w:lineRule="auto"/>
    </w:pPr>
    <w:rPr>
      <w:rFonts w:ascii="Arial" w:eastAsia="Times New Roman" w:hAnsi="Arial" w:cs="Times New Roman"/>
      <w:sz w:val="20"/>
      <w:szCs w:val="24"/>
    </w:rPr>
  </w:style>
  <w:style w:type="paragraph" w:customStyle="1" w:styleId="TableHeadingCenter">
    <w:name w:val="Table Heading (Center)"/>
    <w:basedOn w:val="Normal"/>
    <w:link w:val="TableHeadingCenterChar"/>
    <w:qFormat/>
    <w:rsid w:val="00022915"/>
    <w:pPr>
      <w:keepLines/>
      <w:spacing w:before="60" w:after="40" w:line="240" w:lineRule="auto"/>
      <w:jc w:val="center"/>
    </w:pPr>
    <w:rPr>
      <w:rFonts w:ascii="Arial" w:eastAsia="MS Mincho" w:hAnsi="Arial" w:cs="Times New Roman"/>
      <w:b/>
      <w:sz w:val="20"/>
      <w:szCs w:val="23"/>
    </w:rPr>
  </w:style>
  <w:style w:type="character" w:customStyle="1" w:styleId="TableHeadingCenterChar">
    <w:name w:val="Table Heading (Center) Char"/>
    <w:link w:val="TableHeadingCenter"/>
    <w:rsid w:val="00022915"/>
    <w:rPr>
      <w:rFonts w:ascii="Arial" w:eastAsia="MS Mincho" w:hAnsi="Arial" w:cs="Times New Roman"/>
      <w:b/>
      <w:sz w:val="20"/>
      <w:szCs w:val="23"/>
    </w:rPr>
  </w:style>
  <w:style w:type="paragraph" w:customStyle="1" w:styleId="Pa9">
    <w:name w:val="Pa9"/>
    <w:basedOn w:val="Normal"/>
    <w:next w:val="Normal"/>
    <w:uiPriority w:val="99"/>
    <w:rsid w:val="00022915"/>
    <w:pPr>
      <w:keepLines/>
      <w:autoSpaceDE w:val="0"/>
      <w:autoSpaceDN w:val="0"/>
      <w:adjustRightInd w:val="0"/>
      <w:spacing w:after="0" w:line="221" w:lineRule="atLeast"/>
    </w:pPr>
    <w:rPr>
      <w:rFonts w:ascii="Frutiger LT Std 45 Light" w:eastAsia="Times New Roman" w:hAnsi="Frutiger LT Std 45 Light" w:cs="Times New Roman"/>
      <w:sz w:val="23"/>
      <w:szCs w:val="23"/>
    </w:rPr>
  </w:style>
  <w:style w:type="paragraph" w:customStyle="1" w:styleId="BodyText1">
    <w:name w:val="Body Text 1"/>
    <w:qFormat/>
    <w:rsid w:val="00022915"/>
    <w:pPr>
      <w:spacing w:before="120" w:after="0" w:line="280" w:lineRule="atLeast"/>
    </w:pPr>
    <w:rPr>
      <w:rFonts w:ascii="Arial" w:eastAsia="Times New Roman" w:hAnsi="Arial" w:cs="Arial"/>
      <w:sz w:val="23"/>
      <w:szCs w:val="23"/>
      <w:lang w:eastAsia="en-AU"/>
    </w:rPr>
  </w:style>
  <w:style w:type="paragraph" w:customStyle="1" w:styleId="Pa25">
    <w:name w:val="Pa25"/>
    <w:basedOn w:val="Normal"/>
    <w:next w:val="Normal"/>
    <w:uiPriority w:val="99"/>
    <w:rsid w:val="00022915"/>
    <w:pPr>
      <w:keepLines/>
      <w:autoSpaceDE w:val="0"/>
      <w:autoSpaceDN w:val="0"/>
      <w:adjustRightInd w:val="0"/>
      <w:spacing w:after="0" w:line="221" w:lineRule="atLeast"/>
    </w:pPr>
    <w:rPr>
      <w:rFonts w:ascii="Frutiger LT Std 45 Light" w:eastAsia="Times New Roman" w:hAnsi="Frutiger LT Std 45 Light" w:cs="Times New Roman"/>
      <w:sz w:val="23"/>
      <w:szCs w:val="23"/>
    </w:rPr>
  </w:style>
  <w:style w:type="character" w:customStyle="1" w:styleId="A16">
    <w:name w:val="A16"/>
    <w:uiPriority w:val="99"/>
    <w:rsid w:val="00022915"/>
    <w:rPr>
      <w:rFonts w:cs="Frutiger LT Std 45 Light"/>
      <w:color w:val="000000"/>
      <w:sz w:val="12"/>
      <w:szCs w:val="12"/>
    </w:rPr>
  </w:style>
  <w:style w:type="character" w:customStyle="1" w:styleId="A19">
    <w:name w:val="A19"/>
    <w:uiPriority w:val="99"/>
    <w:rsid w:val="00022915"/>
    <w:rPr>
      <w:rFonts w:cs="Century Gothic"/>
      <w:color w:val="000000"/>
      <w:sz w:val="38"/>
      <w:szCs w:val="38"/>
    </w:rPr>
  </w:style>
  <w:style w:type="paragraph" w:customStyle="1" w:styleId="Bullets2ndindent">
    <w:name w:val="Bullets (2nd indent)"/>
    <w:basedOn w:val="BodyText1"/>
    <w:qFormat/>
    <w:rsid w:val="00022915"/>
    <w:pPr>
      <w:numPr>
        <w:ilvl w:val="1"/>
        <w:numId w:val="23"/>
      </w:numPr>
      <w:spacing w:before="60" w:line="240" w:lineRule="auto"/>
      <w:ind w:left="709" w:hanging="283"/>
    </w:pPr>
  </w:style>
  <w:style w:type="paragraph" w:customStyle="1" w:styleId="Bullets1stindent">
    <w:name w:val="Bullets (1st indent)"/>
    <w:basedOn w:val="BodyText1"/>
    <w:qFormat/>
    <w:rsid w:val="00022915"/>
    <w:pPr>
      <w:keepLines/>
      <w:numPr>
        <w:numId w:val="17"/>
      </w:numPr>
    </w:pPr>
  </w:style>
  <w:style w:type="paragraph" w:customStyle="1" w:styleId="Bullets3rdindent">
    <w:name w:val="Bullets (3rd indent)"/>
    <w:basedOn w:val="BodyTextIndent2"/>
    <w:qFormat/>
    <w:rsid w:val="00022915"/>
    <w:pPr>
      <w:numPr>
        <w:ilvl w:val="2"/>
        <w:numId w:val="14"/>
      </w:numPr>
      <w:spacing w:before="60" w:after="60" w:line="240" w:lineRule="auto"/>
    </w:pPr>
    <w:rPr>
      <w:rFonts w:ascii="Calibri" w:hAnsi="Calibri"/>
    </w:rPr>
  </w:style>
  <w:style w:type="paragraph" w:customStyle="1" w:styleId="Tablebullets1stindent">
    <w:name w:val="Table bullets (1st indent)"/>
    <w:basedOn w:val="Tabletext0"/>
    <w:rsid w:val="00022915"/>
    <w:pPr>
      <w:numPr>
        <w:numId w:val="26"/>
      </w:numPr>
      <w:ind w:left="284" w:hanging="284"/>
    </w:pPr>
    <w:rPr>
      <w:szCs w:val="19"/>
    </w:rPr>
  </w:style>
  <w:style w:type="paragraph" w:customStyle="1" w:styleId="Tablebullets2ndindent">
    <w:name w:val="Table bullets (2nd indent)"/>
    <w:basedOn w:val="Tabletext0"/>
    <w:rsid w:val="00022915"/>
    <w:pPr>
      <w:numPr>
        <w:ilvl w:val="4"/>
        <w:numId w:val="14"/>
      </w:numPr>
    </w:pPr>
    <w:rPr>
      <w:szCs w:val="19"/>
    </w:rPr>
  </w:style>
  <w:style w:type="paragraph" w:customStyle="1" w:styleId="Tablebullets3rdindent">
    <w:name w:val="Table bullets (3rd indent)"/>
    <w:basedOn w:val="Tabletext0"/>
    <w:rsid w:val="00022915"/>
    <w:pPr>
      <w:numPr>
        <w:ilvl w:val="5"/>
        <w:numId w:val="14"/>
      </w:numPr>
    </w:pPr>
  </w:style>
  <w:style w:type="paragraph" w:customStyle="1" w:styleId="Footnote">
    <w:name w:val="Footnote"/>
    <w:basedOn w:val="FootnoteText"/>
    <w:rsid w:val="00022915"/>
  </w:style>
  <w:style w:type="character" w:customStyle="1" w:styleId="CaptionChar">
    <w:name w:val="Caption Char"/>
    <w:link w:val="Caption"/>
    <w:rsid w:val="00022915"/>
    <w:rPr>
      <w:rFonts w:ascii="Arial" w:eastAsia="Times New Roman" w:hAnsi="Arial" w:cs="Arial"/>
      <w:b/>
      <w:i/>
      <w:sz w:val="20"/>
      <w:szCs w:val="16"/>
      <w:lang w:eastAsia="en-AU"/>
    </w:rPr>
  </w:style>
  <w:style w:type="paragraph" w:customStyle="1" w:styleId="Figurecaption">
    <w:name w:val="Figure caption"/>
    <w:basedOn w:val="Normal"/>
    <w:rsid w:val="00022915"/>
    <w:pPr>
      <w:keepNext/>
      <w:keepLines/>
      <w:spacing w:before="120" w:after="240" w:line="240" w:lineRule="auto"/>
      <w:ind w:left="1276" w:hanging="1276"/>
    </w:pPr>
    <w:rPr>
      <w:rFonts w:ascii="Arial" w:eastAsia="Times New Roman" w:hAnsi="Arial" w:cs="Arial"/>
      <w:b/>
      <w:sz w:val="20"/>
      <w:szCs w:val="16"/>
      <w:lang w:eastAsia="en-AU"/>
    </w:rPr>
  </w:style>
  <w:style w:type="paragraph" w:customStyle="1" w:styleId="Dotpointlist">
    <w:name w:val="Dot point list"/>
    <w:basedOn w:val="Normal"/>
    <w:rsid w:val="00022915"/>
    <w:pPr>
      <w:keepLines/>
      <w:numPr>
        <w:numId w:val="15"/>
      </w:numPr>
      <w:spacing w:before="60" w:after="60" w:line="240" w:lineRule="auto"/>
    </w:pPr>
    <w:rPr>
      <w:rFonts w:ascii="Arial" w:eastAsia="Times New Roman" w:hAnsi="Arial" w:cs="Times New Roman"/>
      <w:lang w:eastAsia="en-AU"/>
    </w:rPr>
  </w:style>
  <w:style w:type="paragraph" w:customStyle="1" w:styleId="Dotpointsub-list">
    <w:name w:val="Dot point sub-list"/>
    <w:rsid w:val="00022915"/>
    <w:pPr>
      <w:numPr>
        <w:ilvl w:val="1"/>
        <w:numId w:val="15"/>
      </w:numPr>
      <w:spacing w:before="60" w:after="60" w:line="240" w:lineRule="auto"/>
    </w:pPr>
    <w:rPr>
      <w:rFonts w:ascii="Arial" w:eastAsia="Times New Roman" w:hAnsi="Arial" w:cs="Arial"/>
      <w:lang w:eastAsia="en-AU"/>
    </w:rPr>
  </w:style>
  <w:style w:type="paragraph" w:customStyle="1" w:styleId="Pa16">
    <w:name w:val="Pa16"/>
    <w:basedOn w:val="Default"/>
    <w:next w:val="Default"/>
    <w:uiPriority w:val="99"/>
    <w:rsid w:val="00022915"/>
    <w:pPr>
      <w:spacing w:line="421" w:lineRule="atLeast"/>
    </w:pPr>
    <w:rPr>
      <w:rFonts w:ascii="Century Gothic" w:eastAsia="Times New Roman" w:hAnsi="Century Gothic"/>
      <w:color w:val="auto"/>
    </w:rPr>
  </w:style>
  <w:style w:type="paragraph" w:customStyle="1" w:styleId="Pa26">
    <w:name w:val="Pa26"/>
    <w:basedOn w:val="Default"/>
    <w:next w:val="Default"/>
    <w:uiPriority w:val="99"/>
    <w:rsid w:val="00022915"/>
    <w:pPr>
      <w:spacing w:line="421" w:lineRule="atLeast"/>
    </w:pPr>
    <w:rPr>
      <w:rFonts w:ascii="Century Gothic" w:eastAsia="Times New Roman" w:hAnsi="Century Gothic"/>
      <w:color w:val="auto"/>
    </w:rPr>
  </w:style>
  <w:style w:type="paragraph" w:customStyle="1" w:styleId="Pa18">
    <w:name w:val="Pa18"/>
    <w:basedOn w:val="Default"/>
    <w:next w:val="Default"/>
    <w:uiPriority w:val="99"/>
    <w:rsid w:val="00022915"/>
    <w:pPr>
      <w:spacing w:line="401" w:lineRule="atLeast"/>
    </w:pPr>
    <w:rPr>
      <w:rFonts w:ascii="Frutiger LT Std 55 Roman" w:eastAsia="Times New Roman" w:hAnsi="Frutiger LT Std 55 Roman"/>
      <w:color w:val="auto"/>
    </w:rPr>
  </w:style>
  <w:style w:type="paragraph" w:customStyle="1" w:styleId="Tablecaption">
    <w:name w:val="Table caption"/>
    <w:basedOn w:val="Normal"/>
    <w:link w:val="TablecaptionChar"/>
    <w:qFormat/>
    <w:rsid w:val="00022915"/>
    <w:pPr>
      <w:keepNext/>
      <w:keepLines/>
      <w:spacing w:before="240" w:after="120" w:line="240" w:lineRule="auto"/>
      <w:ind w:left="1276" w:hanging="1276"/>
    </w:pPr>
    <w:rPr>
      <w:rFonts w:ascii="Arial" w:eastAsia="Times New Roman" w:hAnsi="Arial" w:cs="Arial"/>
      <w:b/>
      <w:sz w:val="20"/>
      <w:szCs w:val="16"/>
      <w:lang w:eastAsia="en-AU"/>
    </w:rPr>
  </w:style>
  <w:style w:type="character" w:customStyle="1" w:styleId="TablecaptionChar">
    <w:name w:val="Table caption Char"/>
    <w:basedOn w:val="DefaultParagraphFont"/>
    <w:link w:val="Tablecaption"/>
    <w:rsid w:val="00022915"/>
    <w:rPr>
      <w:rFonts w:ascii="Arial" w:eastAsia="Times New Roman" w:hAnsi="Arial" w:cs="Arial"/>
      <w:b/>
      <w:sz w:val="20"/>
      <w:szCs w:val="16"/>
      <w:lang w:eastAsia="en-AU"/>
    </w:rPr>
  </w:style>
  <w:style w:type="paragraph" w:customStyle="1" w:styleId="Tableheading0">
    <w:name w:val="Table heading"/>
    <w:basedOn w:val="Tabletext0"/>
    <w:rsid w:val="00022915"/>
    <w:pPr>
      <w:keepNext/>
      <w:spacing w:before="60"/>
    </w:pPr>
    <w:rPr>
      <w:b/>
      <w:szCs w:val="20"/>
    </w:rPr>
  </w:style>
  <w:style w:type="table" w:customStyle="1" w:styleId="TableGrid80">
    <w:name w:val="Table Grid8"/>
    <w:basedOn w:val="TableNormal"/>
    <w:next w:val="TableGrid"/>
    <w:uiPriority w:val="59"/>
    <w:rsid w:val="00022915"/>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1">
    <w:name w:val="Appendix heading 1"/>
    <w:next w:val="Appendixheading2"/>
    <w:qFormat/>
    <w:rsid w:val="00022915"/>
    <w:pPr>
      <w:pageBreakBefore/>
      <w:tabs>
        <w:tab w:val="num" w:pos="2160"/>
      </w:tabs>
      <w:spacing w:before="240" w:after="240" w:line="240" w:lineRule="auto"/>
      <w:ind w:left="2160" w:hanging="2160"/>
      <w:outlineLvl w:val="0"/>
    </w:pPr>
    <w:rPr>
      <w:rFonts w:ascii="Gill Sans MT" w:eastAsia="Times New Roman" w:hAnsi="Gill Sans MT" w:cs="Times New Roman"/>
      <w:color w:val="002664"/>
      <w:sz w:val="36"/>
      <w:szCs w:val="36"/>
    </w:rPr>
  </w:style>
  <w:style w:type="paragraph" w:customStyle="1" w:styleId="Appendixheading2">
    <w:name w:val="Appendix heading 2"/>
    <w:next w:val="BodyText1"/>
    <w:qFormat/>
    <w:rsid w:val="00022915"/>
    <w:pPr>
      <w:keepNext/>
      <w:tabs>
        <w:tab w:val="num" w:pos="1134"/>
      </w:tabs>
      <w:spacing w:after="170" w:line="280" w:lineRule="atLeast"/>
      <w:ind w:left="1134" w:hanging="1134"/>
    </w:pPr>
    <w:rPr>
      <w:rFonts w:ascii="Gill Sans MT" w:eastAsia="Times New Roman" w:hAnsi="Gill Sans MT" w:cs="Times New Roman"/>
      <w:b/>
      <w:bCs/>
      <w:color w:val="5793C9"/>
      <w:sz w:val="26"/>
      <w:szCs w:val="26"/>
    </w:rPr>
  </w:style>
  <w:style w:type="paragraph" w:customStyle="1" w:styleId="Figuretitle">
    <w:name w:val="Figure title"/>
    <w:next w:val="BodyText1"/>
    <w:qFormat/>
    <w:rsid w:val="00022915"/>
    <w:pPr>
      <w:keepNext/>
      <w:tabs>
        <w:tab w:val="num" w:pos="1134"/>
      </w:tabs>
      <w:spacing w:before="240" w:after="60" w:line="280" w:lineRule="atLeast"/>
      <w:ind w:left="1134" w:hanging="1134"/>
    </w:pPr>
    <w:rPr>
      <w:rFonts w:ascii="Calibri" w:eastAsia="Times New Roman" w:hAnsi="Calibri" w:cs="Times New Roman"/>
      <w:sz w:val="24"/>
      <w:szCs w:val="24"/>
    </w:rPr>
  </w:style>
  <w:style w:type="paragraph" w:customStyle="1" w:styleId="Tabletitle">
    <w:name w:val="Table title"/>
    <w:next w:val="BodyText1"/>
    <w:qFormat/>
    <w:rsid w:val="00022915"/>
    <w:pPr>
      <w:keepNext/>
      <w:tabs>
        <w:tab w:val="num" w:pos="1134"/>
      </w:tabs>
      <w:spacing w:before="240" w:after="60" w:line="280" w:lineRule="atLeast"/>
      <w:ind w:left="1134" w:hanging="1134"/>
    </w:pPr>
    <w:rPr>
      <w:rFonts w:ascii="Calibri" w:eastAsia="Times New Roman" w:hAnsi="Calibri" w:cs="Times New Roman"/>
      <w:sz w:val="24"/>
      <w:szCs w:val="18"/>
    </w:rPr>
  </w:style>
  <w:style w:type="paragraph" w:customStyle="1" w:styleId="Numberlist">
    <w:name w:val="Number list"/>
    <w:basedOn w:val="Normal"/>
    <w:rsid w:val="00022915"/>
    <w:pPr>
      <w:keepLines/>
      <w:numPr>
        <w:numId w:val="16"/>
      </w:numPr>
      <w:spacing w:before="120" w:after="120" w:line="240" w:lineRule="auto"/>
      <w:contextualSpacing/>
    </w:pPr>
    <w:rPr>
      <w:rFonts w:ascii="Arial" w:eastAsia="Times New Roman" w:hAnsi="Arial" w:cs="Arial"/>
      <w:lang w:eastAsia="en-AU"/>
    </w:rPr>
  </w:style>
  <w:style w:type="paragraph" w:customStyle="1" w:styleId="Numberlist2">
    <w:name w:val="Number list 2"/>
    <w:basedOn w:val="Numberlist"/>
    <w:rsid w:val="00022915"/>
    <w:pPr>
      <w:numPr>
        <w:ilvl w:val="1"/>
      </w:numPr>
      <w:spacing w:after="80"/>
      <w:contextualSpacing w:val="0"/>
    </w:pPr>
  </w:style>
  <w:style w:type="character" w:customStyle="1" w:styleId="Italic">
    <w:name w:val="Italic"/>
    <w:basedOn w:val="DefaultParagraphFont"/>
    <w:uiPriority w:val="1"/>
    <w:qFormat/>
    <w:rsid w:val="00022915"/>
    <w:rPr>
      <w:i/>
    </w:rPr>
  </w:style>
  <w:style w:type="paragraph" w:customStyle="1" w:styleId="MJALetterText">
    <w:name w:val="MJA Letter Text"/>
    <w:basedOn w:val="Normal"/>
    <w:link w:val="MJALetterTextChar"/>
    <w:qFormat/>
    <w:rsid w:val="00022915"/>
    <w:pPr>
      <w:keepLines/>
      <w:shd w:val="clear" w:color="auto" w:fill="FFFFFF"/>
      <w:spacing w:before="120" w:after="120" w:line="240" w:lineRule="auto"/>
      <w:jc w:val="both"/>
    </w:pPr>
    <w:rPr>
      <w:rFonts w:ascii="Calibri" w:hAnsi="Calibri" w:cs="Times New Roman"/>
      <w:color w:val="000000"/>
      <w:lang w:eastAsia="en-AU"/>
    </w:rPr>
  </w:style>
  <w:style w:type="character" w:customStyle="1" w:styleId="MJALetterTextChar">
    <w:name w:val="MJA Letter Text Char"/>
    <w:basedOn w:val="DefaultParagraphFont"/>
    <w:link w:val="MJALetterText"/>
    <w:rsid w:val="00022915"/>
    <w:rPr>
      <w:rFonts w:ascii="Calibri" w:hAnsi="Calibri" w:cs="Times New Roman"/>
      <w:color w:val="000000"/>
      <w:shd w:val="clear" w:color="auto" w:fill="FFFFFF"/>
      <w:lang w:eastAsia="en-AU"/>
    </w:rPr>
  </w:style>
  <w:style w:type="paragraph" w:styleId="Quote">
    <w:name w:val="Quote"/>
    <w:basedOn w:val="Normal"/>
    <w:next w:val="Normal"/>
    <w:link w:val="QuoteChar"/>
    <w:uiPriority w:val="29"/>
    <w:qFormat/>
    <w:rsid w:val="00022915"/>
    <w:pPr>
      <w:keepLines/>
      <w:spacing w:before="120" w:after="120" w:line="240" w:lineRule="auto"/>
      <w:ind w:left="284" w:right="284"/>
    </w:pPr>
    <w:rPr>
      <w:rFonts w:ascii="Arial" w:eastAsiaTheme="minorEastAsia" w:hAnsi="Arial"/>
      <w:i/>
      <w:iCs/>
      <w:color w:val="000000" w:themeColor="text1"/>
      <w:sz w:val="21"/>
      <w:szCs w:val="23"/>
    </w:rPr>
  </w:style>
  <w:style w:type="character" w:customStyle="1" w:styleId="QuoteChar">
    <w:name w:val="Quote Char"/>
    <w:basedOn w:val="DefaultParagraphFont"/>
    <w:link w:val="Quote"/>
    <w:uiPriority w:val="29"/>
    <w:rsid w:val="00022915"/>
    <w:rPr>
      <w:rFonts w:ascii="Arial" w:eastAsiaTheme="minorEastAsia" w:hAnsi="Arial"/>
      <w:i/>
      <w:iCs/>
      <w:color w:val="000000" w:themeColor="text1"/>
      <w:sz w:val="21"/>
      <w:szCs w:val="23"/>
    </w:rPr>
  </w:style>
  <w:style w:type="paragraph" w:customStyle="1" w:styleId="MJAheading1">
    <w:name w:val="MJA heading 1"/>
    <w:basedOn w:val="MJAnormal"/>
    <w:next w:val="MJAnormal"/>
    <w:rsid w:val="00022915"/>
    <w:pPr>
      <w:numPr>
        <w:numId w:val="18"/>
      </w:numPr>
      <w:pBdr>
        <w:bottom w:val="single" w:sz="18" w:space="1" w:color="0093D0"/>
      </w:pBdr>
      <w:tabs>
        <w:tab w:val="left" w:pos="425"/>
        <w:tab w:val="num" w:pos="567"/>
        <w:tab w:val="left" w:pos="709"/>
        <w:tab w:val="num" w:pos="1209"/>
      </w:tabs>
      <w:spacing w:before="0" w:after="360" w:line="240" w:lineRule="auto"/>
      <w:ind w:left="0" w:firstLine="0"/>
    </w:pPr>
    <w:rPr>
      <w:rFonts w:ascii="Corbel" w:hAnsi="Corbel"/>
      <w:color w:val="0093D0"/>
      <w:sz w:val="44"/>
    </w:rPr>
  </w:style>
  <w:style w:type="paragraph" w:customStyle="1" w:styleId="MJAheading2">
    <w:name w:val="MJA heading 2"/>
    <w:basedOn w:val="Normal"/>
    <w:next w:val="MJAnormal"/>
    <w:qFormat/>
    <w:rsid w:val="00022915"/>
    <w:pPr>
      <w:keepNext/>
      <w:keepLines/>
      <w:numPr>
        <w:ilvl w:val="1"/>
        <w:numId w:val="18"/>
      </w:numPr>
      <w:tabs>
        <w:tab w:val="left" w:pos="709"/>
      </w:tabs>
      <w:spacing w:before="360" w:after="240" w:line="240" w:lineRule="auto"/>
    </w:pPr>
    <w:rPr>
      <w:rFonts w:ascii="Corbel" w:hAnsi="Corbel"/>
      <w:color w:val="0093D0"/>
      <w:sz w:val="32"/>
    </w:rPr>
  </w:style>
  <w:style w:type="paragraph" w:customStyle="1" w:styleId="MJAheading3">
    <w:name w:val="MJA heading 3"/>
    <w:basedOn w:val="MJAnormal"/>
    <w:next w:val="MJAnormal"/>
    <w:qFormat/>
    <w:rsid w:val="00022915"/>
    <w:pPr>
      <w:keepNext/>
      <w:numPr>
        <w:ilvl w:val="2"/>
        <w:numId w:val="18"/>
      </w:numPr>
      <w:tabs>
        <w:tab w:val="left" w:pos="709"/>
        <w:tab w:val="num" w:pos="1209"/>
        <w:tab w:val="num" w:pos="1384"/>
      </w:tabs>
      <w:spacing w:before="360" w:line="240" w:lineRule="auto"/>
      <w:ind w:left="284" w:hanging="340"/>
    </w:pPr>
    <w:rPr>
      <w:rFonts w:ascii="Corbel" w:hAnsi="Corbel"/>
      <w:color w:val="0093D0"/>
    </w:rPr>
  </w:style>
  <w:style w:type="paragraph" w:customStyle="1" w:styleId="MJATableRow">
    <w:name w:val="MJA Table Row"/>
    <w:basedOn w:val="Normal"/>
    <w:qFormat/>
    <w:rsid w:val="00022915"/>
    <w:pPr>
      <w:keepLines/>
      <w:spacing w:before="60" w:after="60" w:line="240" w:lineRule="auto"/>
    </w:pPr>
    <w:rPr>
      <w:rFonts w:ascii="Calibri" w:hAnsi="Calibri"/>
      <w:sz w:val="20"/>
    </w:rPr>
  </w:style>
  <w:style w:type="paragraph" w:customStyle="1" w:styleId="MJAsource">
    <w:name w:val="MJA source"/>
    <w:basedOn w:val="Normal"/>
    <w:next w:val="BalloonText"/>
    <w:qFormat/>
    <w:rsid w:val="00022915"/>
    <w:pPr>
      <w:keepLines/>
      <w:spacing w:before="120" w:after="120" w:line="240" w:lineRule="auto"/>
    </w:pPr>
    <w:rPr>
      <w:rFonts w:ascii="Calibri" w:hAnsi="Calibri"/>
      <w:i/>
      <w:sz w:val="18"/>
    </w:rPr>
  </w:style>
  <w:style w:type="paragraph" w:styleId="NoSpacing">
    <w:name w:val="No Spacing"/>
    <w:uiPriority w:val="1"/>
    <w:rsid w:val="00022915"/>
    <w:pPr>
      <w:spacing w:after="0" w:line="240" w:lineRule="auto"/>
    </w:pPr>
  </w:style>
  <w:style w:type="paragraph" w:customStyle="1" w:styleId="MJAESheading">
    <w:name w:val="MJA ES heading"/>
    <w:basedOn w:val="MJAnormal"/>
    <w:next w:val="MJAnormal"/>
    <w:qFormat/>
    <w:rsid w:val="00022915"/>
    <w:pPr>
      <w:tabs>
        <w:tab w:val="left" w:pos="425"/>
      </w:tabs>
      <w:spacing w:before="360" w:after="240" w:line="240" w:lineRule="auto"/>
      <w:ind w:left="425" w:hanging="425"/>
    </w:pPr>
    <w:rPr>
      <w:rFonts w:ascii="Corbel" w:hAnsi="Corbel"/>
      <w:color w:val="0093D0"/>
      <w:sz w:val="32"/>
    </w:rPr>
  </w:style>
  <w:style w:type="paragraph" w:customStyle="1" w:styleId="MJAbulletnormal">
    <w:name w:val="MJA bullet normal"/>
    <w:basedOn w:val="Bullets1stindent"/>
    <w:link w:val="MJAbulletnormalChar"/>
    <w:qFormat/>
    <w:rsid w:val="00022915"/>
  </w:style>
  <w:style w:type="paragraph" w:customStyle="1" w:styleId="MJAitalicsheading">
    <w:name w:val="MJA italics heading"/>
    <w:basedOn w:val="MJAnormal"/>
    <w:next w:val="MJAnormal"/>
    <w:qFormat/>
    <w:rsid w:val="00022915"/>
    <w:pPr>
      <w:keepNext/>
      <w:tabs>
        <w:tab w:val="left" w:pos="397"/>
      </w:tabs>
      <w:spacing w:before="240" w:after="120" w:line="240" w:lineRule="auto"/>
      <w:jc w:val="both"/>
    </w:pPr>
    <w:rPr>
      <w:i/>
    </w:rPr>
  </w:style>
  <w:style w:type="paragraph" w:customStyle="1" w:styleId="MJAheading4">
    <w:name w:val="MJA heading 4"/>
    <w:basedOn w:val="MJAnormal"/>
    <w:next w:val="MJAnormal"/>
    <w:qFormat/>
    <w:rsid w:val="00022915"/>
    <w:pPr>
      <w:keepNext/>
      <w:tabs>
        <w:tab w:val="left" w:pos="397"/>
      </w:tabs>
      <w:spacing w:before="360"/>
      <w:jc w:val="both"/>
    </w:pPr>
    <w:rPr>
      <w:rFonts w:ascii="Corbel" w:hAnsi="Corbel"/>
      <w:color w:val="0093D0"/>
      <w:szCs w:val="20"/>
    </w:rPr>
  </w:style>
  <w:style w:type="paragraph" w:styleId="Index1">
    <w:name w:val="index 1"/>
    <w:basedOn w:val="Normal"/>
    <w:next w:val="Normal"/>
    <w:autoRedefine/>
    <w:semiHidden/>
    <w:rsid w:val="00022915"/>
    <w:pPr>
      <w:keepLines/>
      <w:spacing w:after="0" w:line="240" w:lineRule="auto"/>
      <w:ind w:left="240" w:hanging="240"/>
      <w:jc w:val="both"/>
    </w:pPr>
    <w:rPr>
      <w:rFonts w:ascii="Times New Roman" w:eastAsia="Times New Roman" w:hAnsi="Times New Roman" w:cs="Times New Roman"/>
      <w:sz w:val="23"/>
      <w:szCs w:val="20"/>
    </w:rPr>
  </w:style>
  <w:style w:type="paragraph" w:customStyle="1" w:styleId="MJAbulletsubpara">
    <w:name w:val="MJA bullet sub para"/>
    <w:basedOn w:val="Normal"/>
    <w:next w:val="MJAbulletnormal"/>
    <w:qFormat/>
    <w:rsid w:val="00022915"/>
    <w:pPr>
      <w:keepLines/>
      <w:spacing w:after="120" w:line="280" w:lineRule="atLeast"/>
      <w:ind w:left="397"/>
    </w:pPr>
    <w:rPr>
      <w:rFonts w:ascii="Times New Roman" w:eastAsia="Times New Roman" w:hAnsi="Times New Roman" w:cs="Times New Roman"/>
    </w:rPr>
  </w:style>
  <w:style w:type="paragraph" w:customStyle="1" w:styleId="MJAdashbullet">
    <w:name w:val="MJA dash bullet"/>
    <w:basedOn w:val="Normal"/>
    <w:qFormat/>
    <w:rsid w:val="00022915"/>
    <w:pPr>
      <w:keepLines/>
      <w:numPr>
        <w:numId w:val="22"/>
      </w:numPr>
      <w:tabs>
        <w:tab w:val="left" w:pos="794"/>
      </w:tabs>
      <w:spacing w:after="120" w:line="280" w:lineRule="atLeast"/>
    </w:pPr>
    <w:rPr>
      <w:rFonts w:ascii="Times New Roman" w:eastAsia="Times New Roman" w:hAnsi="Times New Roman" w:cs="Times New Roman"/>
    </w:rPr>
  </w:style>
  <w:style w:type="paragraph" w:customStyle="1" w:styleId="MJAnormal">
    <w:name w:val="MJA normal"/>
    <w:basedOn w:val="BodyText1"/>
    <w:link w:val="MJAnormalChar1"/>
    <w:qFormat/>
    <w:rsid w:val="00022915"/>
    <w:pPr>
      <w:keepLines/>
    </w:pPr>
  </w:style>
  <w:style w:type="character" w:customStyle="1" w:styleId="MJAnormalChar1">
    <w:name w:val="MJA normal Char1"/>
    <w:basedOn w:val="DefaultParagraphFont"/>
    <w:link w:val="MJAnormal"/>
    <w:rsid w:val="00022915"/>
    <w:rPr>
      <w:rFonts w:ascii="Arial" w:eastAsia="Times New Roman" w:hAnsi="Arial" w:cs="Arial"/>
      <w:sz w:val="23"/>
      <w:szCs w:val="23"/>
      <w:lang w:eastAsia="en-AU"/>
    </w:rPr>
  </w:style>
  <w:style w:type="numbering" w:customStyle="1" w:styleId="NEWMJAListStyle">
    <w:name w:val="NEW MJA List Style"/>
    <w:rsid w:val="00022915"/>
    <w:pPr>
      <w:numPr>
        <w:numId w:val="19"/>
      </w:numPr>
    </w:pPr>
  </w:style>
  <w:style w:type="paragraph" w:customStyle="1" w:styleId="MJAESnormal">
    <w:name w:val="MJA ES normal"/>
    <w:basedOn w:val="MJAnormal"/>
    <w:qFormat/>
    <w:rsid w:val="00022915"/>
    <w:pPr>
      <w:numPr>
        <w:numId w:val="21"/>
      </w:numPr>
      <w:tabs>
        <w:tab w:val="left" w:pos="709"/>
        <w:tab w:val="num" w:pos="1209"/>
        <w:tab w:val="num" w:pos="1562"/>
      </w:tabs>
      <w:ind w:left="1209"/>
    </w:pPr>
  </w:style>
  <w:style w:type="paragraph" w:styleId="Revision">
    <w:name w:val="Revision"/>
    <w:hidden/>
    <w:uiPriority w:val="99"/>
    <w:semiHidden/>
    <w:rsid w:val="00022915"/>
    <w:pPr>
      <w:spacing w:after="0" w:line="240" w:lineRule="auto"/>
    </w:pPr>
    <w:rPr>
      <w:rFonts w:ascii="Times New Roman" w:eastAsia="Times New Roman" w:hAnsi="Times New Roman" w:cs="Times New Roman"/>
      <w:sz w:val="24"/>
      <w:szCs w:val="20"/>
    </w:rPr>
  </w:style>
  <w:style w:type="numbering" w:customStyle="1" w:styleId="List1">
    <w:name w:val="List 1"/>
    <w:autoRedefine/>
    <w:rsid w:val="00022915"/>
    <w:pPr>
      <w:numPr>
        <w:numId w:val="20"/>
      </w:numPr>
    </w:pPr>
  </w:style>
  <w:style w:type="paragraph" w:customStyle="1" w:styleId="MJAnotes">
    <w:name w:val="MJA notes"/>
    <w:basedOn w:val="MJAnormal"/>
    <w:next w:val="Normal"/>
    <w:qFormat/>
    <w:rsid w:val="00022915"/>
    <w:pPr>
      <w:tabs>
        <w:tab w:val="left" w:pos="425"/>
      </w:tabs>
      <w:spacing w:before="0" w:after="60" w:line="240" w:lineRule="auto"/>
      <w:ind w:left="425" w:hanging="425"/>
    </w:pPr>
    <w:rPr>
      <w:rFonts w:ascii="Calibri" w:hAnsi="Calibri"/>
      <w:i/>
      <w:sz w:val="20"/>
    </w:rPr>
  </w:style>
  <w:style w:type="table" w:customStyle="1" w:styleId="MJATable1">
    <w:name w:val="MJA Table1"/>
    <w:basedOn w:val="TableNormal"/>
    <w:uiPriority w:val="99"/>
    <w:rsid w:val="00022915"/>
    <w:pPr>
      <w:spacing w:before="60" w:after="60" w:line="240" w:lineRule="auto"/>
      <w:jc w:val="center"/>
    </w:pPr>
    <w:rPr>
      <w:sz w:val="20"/>
    </w:rPr>
    <w:tblPr/>
    <w:tcPr>
      <w:shd w:val="clear" w:color="auto" w:fill="auto"/>
      <w:vAlign w:val="center"/>
    </w:tcPr>
    <w:tblStylePr w:type="firstRow">
      <w:rPr>
        <w:b/>
        <w:color w:val="FFFFFF" w:themeColor="background1"/>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 w:type="paragraph" w:customStyle="1" w:styleId="Appendixheading3">
    <w:name w:val="Appendix heading 3"/>
    <w:basedOn w:val="Heading3"/>
    <w:rsid w:val="00022915"/>
    <w:pPr>
      <w:keepLines/>
      <w:tabs>
        <w:tab w:val="clear" w:pos="851"/>
      </w:tabs>
      <w:spacing w:after="120" w:line="240" w:lineRule="auto"/>
    </w:pPr>
    <w:rPr>
      <w:rFonts w:ascii="Gill Sans MT" w:hAnsi="Gill Sans MT" w:cs="Times New Roman"/>
      <w:bCs w:val="0"/>
      <w:color w:val="003366"/>
      <w:sz w:val="22"/>
      <w:szCs w:val="24"/>
      <w:lang w:eastAsia="en-AU"/>
    </w:rPr>
  </w:style>
  <w:style w:type="paragraph" w:customStyle="1" w:styleId="Tablenumber">
    <w:name w:val="Table number"/>
    <w:basedOn w:val="Normal"/>
    <w:uiPriority w:val="1"/>
    <w:qFormat/>
    <w:rsid w:val="00022915"/>
    <w:pPr>
      <w:keepLines/>
      <w:spacing w:after="0" w:line="240" w:lineRule="auto"/>
      <w:jc w:val="center"/>
    </w:pPr>
    <w:rPr>
      <w:rFonts w:ascii="Arial" w:eastAsia="Lato" w:hAnsi="Arial" w:cs="Times New Roman"/>
      <w:color w:val="231F20"/>
      <w:spacing w:val="-2"/>
      <w:sz w:val="20"/>
      <w:szCs w:val="18"/>
      <w:lang w:eastAsia="en-AU"/>
    </w:rPr>
  </w:style>
  <w:style w:type="character" w:customStyle="1" w:styleId="MJAbulletnormalChar">
    <w:name w:val="MJA bullet normal Char"/>
    <w:basedOn w:val="DefaultParagraphFont"/>
    <w:link w:val="MJAbulletnormal"/>
    <w:locked/>
    <w:rsid w:val="00022915"/>
    <w:rPr>
      <w:rFonts w:ascii="Arial" w:eastAsia="Times New Roman" w:hAnsi="Arial" w:cs="Arial"/>
      <w:sz w:val="23"/>
      <w:szCs w:val="23"/>
      <w:lang w:eastAsia="en-AU"/>
    </w:rPr>
  </w:style>
  <w:style w:type="character" w:customStyle="1" w:styleId="custom-breadcrumbs-item-2">
    <w:name w:val="custom-breadcrumbs-item-2"/>
    <w:basedOn w:val="DefaultParagraphFont"/>
    <w:rsid w:val="00022915"/>
  </w:style>
  <w:style w:type="paragraph" w:styleId="ListParagraph">
    <w:name w:val="List Paragraph"/>
    <w:basedOn w:val="Normal"/>
    <w:uiPriority w:val="34"/>
    <w:qFormat/>
    <w:rsid w:val="00022915"/>
    <w:pPr>
      <w:keepLines/>
      <w:spacing w:before="120" w:after="0" w:line="240" w:lineRule="auto"/>
      <w:ind w:left="720"/>
      <w:contextualSpacing/>
    </w:pPr>
    <w:rPr>
      <w:rFonts w:ascii="Arial" w:eastAsia="Times New Roman" w:hAnsi="Arial" w:cs="Times New Roman"/>
      <w:sz w:val="23"/>
      <w:szCs w:val="23"/>
    </w:rPr>
  </w:style>
  <w:style w:type="character" w:customStyle="1" w:styleId="UnresolvedMention2">
    <w:name w:val="Unresolved Mention2"/>
    <w:basedOn w:val="DefaultParagraphFont"/>
    <w:uiPriority w:val="99"/>
    <w:semiHidden/>
    <w:unhideWhenUsed/>
    <w:rsid w:val="00022915"/>
    <w:rPr>
      <w:color w:val="808080"/>
      <w:shd w:val="clear" w:color="auto" w:fill="E6E6E6"/>
    </w:rPr>
  </w:style>
  <w:style w:type="paragraph" w:customStyle="1" w:styleId="DWERSource">
    <w:name w:val="DWER Source"/>
    <w:basedOn w:val="Normal"/>
    <w:qFormat/>
    <w:rsid w:val="00022915"/>
    <w:pPr>
      <w:keepLines/>
      <w:spacing w:before="120" w:after="360" w:line="240" w:lineRule="auto"/>
      <w:ind w:left="851" w:hanging="851"/>
      <w:contextualSpacing/>
    </w:pPr>
    <w:rPr>
      <w:rFonts w:ascii="Arial" w:eastAsia="Times New Roman" w:hAnsi="Arial" w:cs="Times New Roman"/>
      <w:sz w:val="18"/>
      <w:szCs w:val="23"/>
    </w:rPr>
  </w:style>
  <w:style w:type="character" w:customStyle="1" w:styleId="UnresolvedMention3">
    <w:name w:val="Unresolved Mention3"/>
    <w:basedOn w:val="DefaultParagraphFont"/>
    <w:uiPriority w:val="99"/>
    <w:semiHidden/>
    <w:unhideWhenUsed/>
    <w:rsid w:val="00022915"/>
    <w:rPr>
      <w:color w:val="605E5C"/>
      <w:shd w:val="clear" w:color="auto" w:fill="E1DFDD"/>
    </w:rPr>
  </w:style>
  <w:style w:type="character" w:customStyle="1" w:styleId="UnresolvedMention4">
    <w:name w:val="Unresolved Mention4"/>
    <w:basedOn w:val="DefaultParagraphFont"/>
    <w:uiPriority w:val="99"/>
    <w:semiHidden/>
    <w:unhideWhenUsed/>
    <w:rsid w:val="00022915"/>
    <w:rPr>
      <w:color w:val="605E5C"/>
      <w:shd w:val="clear" w:color="auto" w:fill="E1DFDD"/>
    </w:rPr>
  </w:style>
  <w:style w:type="character" w:customStyle="1" w:styleId="UnresolvedMention5">
    <w:name w:val="Unresolved Mention5"/>
    <w:basedOn w:val="DefaultParagraphFont"/>
    <w:uiPriority w:val="99"/>
    <w:semiHidden/>
    <w:unhideWhenUsed/>
    <w:rsid w:val="00022915"/>
    <w:rPr>
      <w:color w:val="605E5C"/>
      <w:shd w:val="clear" w:color="auto" w:fill="E1DFDD"/>
    </w:rPr>
  </w:style>
  <w:style w:type="character" w:customStyle="1" w:styleId="UnresolvedMention6">
    <w:name w:val="Unresolved Mention6"/>
    <w:basedOn w:val="DefaultParagraphFont"/>
    <w:uiPriority w:val="99"/>
    <w:semiHidden/>
    <w:unhideWhenUsed/>
    <w:rsid w:val="00022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yperlink" Target="https://www.afgc.org.au/2016/02/industry-tackles-nsw-litter-reduction-challenge-with-thirst-for-good/" TargetMode="External"/><Relationship Id="rId39" Type="http://schemas.openxmlformats.org/officeDocument/2006/relationships/hyperlink" Target="http://www.environment.gov.au/system/files/resources/0d61a8da-4263-4844-928c-e4f9e07472ef/files/packaging-impacts-decision-ris.pdf" TargetMode="External"/><Relationship Id="rId21" Type="http://schemas.openxmlformats.org/officeDocument/2006/relationships/image" Target="media/image6.png"/><Relationship Id="rId34" Type="http://schemas.openxmlformats.org/officeDocument/2006/relationships/hyperlink" Target="https://www.der.wa.gov.au/our-work/programs/111-wa-container-deposit-scheme/470-summary-of-container-deposit-scheme-consultation-survey" TargetMode="External"/><Relationship Id="rId42" Type="http://schemas.openxmlformats.org/officeDocument/2006/relationships/hyperlink" Target="https://www.pmc.gov.au/sites/default/files/publications/012a_Research_Report_Environment.pdf" TargetMode="External"/><Relationship Id="rId47" Type="http://schemas.openxmlformats.org/officeDocument/2006/relationships/hyperlink" Target="https://www.transport.nsw.gov.au/sites/default/files/media/documents/2017/principles-and-guidelines-for-economic-appraisal-of-transport-investment.pdf" TargetMode="External"/><Relationship Id="rId50" Type="http://schemas.openxmlformats.org/officeDocument/2006/relationships/hyperlink" Target="https://www.mediastatements.wa.gov.au/Pages/Barnett/2016/08/Cash-back-for-drink-containers-to-help-recycling.aspx" TargetMode="External"/><Relationship Id="rId55"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hyperlink" Target="http://www.dwer.wa.gov.au/" TargetMode="External"/><Relationship Id="rId17" Type="http://schemas.openxmlformats.org/officeDocument/2006/relationships/image" Target="media/image2.jpeg"/><Relationship Id="rId25" Type="http://schemas.openxmlformats.org/officeDocument/2006/relationships/footer" Target="footer4.xml"/><Relationship Id="rId33" Type="http://schemas.openxmlformats.org/officeDocument/2006/relationships/hyperlink" Target="https://www.der.wa.gov.au/our-work/programs/111-wa-container-deposit-scheme" TargetMode="External"/><Relationship Id="rId38" Type="http://schemas.openxmlformats.org/officeDocument/2006/relationships/hyperlink" Target="http://statements.qld.gov.au/Statement/2016/7/22/container-deposit-scheme-for-queensland" TargetMode="External"/><Relationship Id="rId46" Type="http://schemas.openxmlformats.org/officeDocument/2006/relationships/hyperlink" Target="http://www.tccs.act.gov.au/recycling-and-waste/drop-off/recycling/container-deposit-scheme"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hyperlink" Target="https://dochub/div/portfoliostrategicpolicy/committeesandgroups/recognitionagreements/domesticmutualrecognitioncmte/docs/www.aph.gov.au/about_parliament/parliamentary_departments/parliamentary_library/flagpost/2014/july/gst-relativities-where-is-revenue-raised" TargetMode="External"/><Relationship Id="rId41" Type="http://schemas.openxmlformats.org/officeDocument/2006/relationships/hyperlink" Target="https://web.archive.org/web/20121017042522/http:/www.nretas.nt.gov.au/environment-protection/containerdeposit"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ds@dwer.wa.gov.au" TargetMode="External"/><Relationship Id="rId24" Type="http://schemas.openxmlformats.org/officeDocument/2006/relationships/footer" Target="footer3.xml"/><Relationship Id="rId32" Type="http://schemas.openxmlformats.org/officeDocument/2006/relationships/hyperlink" Target="https://www.der.wa.gov.au/our-work/consultation/69-closed-consultations/455-discussion-paper-container-deposit-scheme" TargetMode="External"/><Relationship Id="rId37" Type="http://schemas.openxmlformats.org/officeDocument/2006/relationships/hyperlink" Target="http://www.macquarie.com.au/dafiles/Internet/mgl/au/apps/retail-newsletter/docs/2016-09/CCL210916e.pdf" TargetMode="External"/><Relationship Id="rId40" Type="http://schemas.openxmlformats.org/officeDocument/2006/relationships/hyperlink" Target="http://nepc.gov.au/projects/packaging-impacts" TargetMode="External"/><Relationship Id="rId45" Type="http://schemas.openxmlformats.org/officeDocument/2006/relationships/hyperlink" Target="https://www.pc.gov.au/__data/assets/pdf_file/0014/21614/waste.pdf" TargetMode="External"/><Relationship Id="rId53" Type="http://schemas.openxmlformats.org/officeDocument/2006/relationships/hyperlink" Target="https://doi.org/10.1371/journal.pone.0174986" TargetMode="External"/><Relationship Id="rId58" Type="http://schemas.openxmlformats.org/officeDocument/2006/relationships/footer" Target="footer5.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denr.nt.gov.au/news/container-deposit-scheme-review-update" TargetMode="External"/><Relationship Id="rId28" Type="http://schemas.openxmlformats.org/officeDocument/2006/relationships/hyperlink" Target="https://cgc.gov.au/index.php?option=com_docman&amp;view=download&amp;Itemid=538&amp;alias=1025-2017-update-report-pdf&amp;category_slug=u2017-report" TargetMode="External"/><Relationship Id="rId36" Type="http://schemas.openxmlformats.org/officeDocument/2006/relationships/hyperlink" Target="http://www.environment.gov.au/system/files/resources/0d61a8da-4263-4844-928c-e4f9e07472ef/files/attachmentk-data-assumptions-report.docx" TargetMode="External"/><Relationship Id="rId49" Type="http://schemas.openxmlformats.org/officeDocument/2006/relationships/hyperlink" Target="http://www.treasury.wa.gov.au/uploadedFiles/Site-content/Economic_Reform/RIA_Program/ria_guidelines.pdf" TargetMode="External"/><Relationship Id="rId57"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hyperlink" Target="http://www.treasury.wa.gov.au/uploadedFiles/Site-content/Economic_Reform/RIA_Program/ria_guidelines.pdf" TargetMode="External"/><Relationship Id="rId44" Type="http://schemas.openxmlformats.org/officeDocument/2006/relationships/hyperlink" Target="http://www.britishsoftdrinks.com/write/MediaUploads/Publications/The_Economic_Impact_of_the_Soft_Drinks_Levy.pdf" TargetMode="External"/><Relationship Id="rId52" Type="http://schemas.openxmlformats.org/officeDocument/2006/relationships/hyperlink" Target="https://doi.org/10.1371/journal.pone.0174986" TargetMode="External"/><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yperlink" Target="http://www.ipart.nsw.gov.au/Home/Industries/Special-Reviews/Reviews/Container-Deposit-Scheme/Container-Deposit-Scheme-Monitoring?qDh=2" TargetMode="External"/><Relationship Id="rId30" Type="http://schemas.openxmlformats.org/officeDocument/2006/relationships/hyperlink" Target="https://www.gov.uk/government/uploads/system/uploads/attachment_data/file/226568/leq-scale-illustrations.pdf" TargetMode="External"/><Relationship Id="rId35" Type="http://schemas.openxmlformats.org/officeDocument/2006/relationships/hyperlink" Target="https://www.kabc.wa.gov.au/library/file/annual-reports/REDITED%20FINAL%20Litter%20Prevention%20Strategy%202015%20new%20edits%20WEB.pdf" TargetMode="External"/><Relationship Id="rId43" Type="http://schemas.openxmlformats.org/officeDocument/2006/relationships/hyperlink" Target="https://www.pmc.gov.au/resource-centre/regulation/cost-benefit-analysis-guidance-note" TargetMode="External"/><Relationship Id="rId48" Type="http://schemas.openxmlformats.org/officeDocument/2006/relationships/hyperlink" Target="http://wedocs.unep.org/handle/20.500.11822/9238" TargetMode="External"/><Relationship Id="rId56"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hyperlink" Target="https://www.environment.gov.au/system/files/resources/81bc0f7f-bd53-403d-9c9d-32c861d1f166/files/landfill-standards.pdf"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kabc.wa.gov.au/library/file/annual-reports/REDITED%20FINAL%20Litter%20Prevention%20Strategy%202015%20new%20edits%20WEB.pdf" TargetMode="External"/><Relationship Id="rId13" Type="http://schemas.openxmlformats.org/officeDocument/2006/relationships/hyperlink" Target="http://www.epa.sa.gov.au/environmental_info/container_deposit" TargetMode="External"/><Relationship Id="rId18" Type="http://schemas.openxmlformats.org/officeDocument/2006/relationships/hyperlink" Target="http://www.der.wa.gov.au/our-work/programs/111-wa-container-deposit-scheme" TargetMode="External"/><Relationship Id="rId3" Type="http://schemas.openxmlformats.org/officeDocument/2006/relationships/hyperlink" Target="https://www.der.wa.gov.au/our-work/consultation/69-closed-consultations/513-draft-customer-service-standards-for-collection-network" TargetMode="External"/><Relationship Id="rId21" Type="http://schemas.openxmlformats.org/officeDocument/2006/relationships/hyperlink" Target="https://www.der.wa.gov.au/our-work/consultation/69-closed-consultations/513-draft-customer-service-standards-for-collection-network" TargetMode="External"/><Relationship Id="rId7" Type="http://schemas.openxmlformats.org/officeDocument/2006/relationships/hyperlink" Target="https://www.der.wa.gov.au/our-work/programs/111-wa-container-deposit-scheme" TargetMode="External"/><Relationship Id="rId12" Type="http://schemas.openxmlformats.org/officeDocument/2006/relationships/hyperlink" Target="http://www.exchangeforchange.com.au/ReturnAndEarn_MediaRelease.pdf" TargetMode="External"/><Relationship Id="rId17" Type="http://schemas.openxmlformats.org/officeDocument/2006/relationships/hyperlink" Target="http://anker-andersen.dk/deposit-laws/denmark.aspx" TargetMode="External"/><Relationship Id="rId2" Type="http://schemas.openxmlformats.org/officeDocument/2006/relationships/hyperlink" Target="https://www.der.wa.gov.au/images/CDS/CDS-Minimum_network_standards-Refund_point_locations_and_hours_of_operat....pdf" TargetMode="External"/><Relationship Id="rId16" Type="http://schemas.openxmlformats.org/officeDocument/2006/relationships/hyperlink" Target="https://epa.tas.gov.au/epa/news/a-new-report-on-a-model-container-recovery-scheme-released" TargetMode="External"/><Relationship Id="rId20" Type="http://schemas.openxmlformats.org/officeDocument/2006/relationships/hyperlink" Target="http://anker-andersen.dk/deposit-laws/denmark.aspx" TargetMode="External"/><Relationship Id="rId1" Type="http://schemas.openxmlformats.org/officeDocument/2006/relationships/hyperlink" Target="https://www.der.wa.gov.au/our-work/consultation/69-closed-consultations/504-consultation-regulatory-impact-statement" TargetMode="External"/><Relationship Id="rId6" Type="http://schemas.openxmlformats.org/officeDocument/2006/relationships/hyperlink" Target="https://www.der.wa.gov.au/images/documents/our-work/programs/CDS/CDS_Advisory_Group_-_Terms_of_Reference.pdf" TargetMode="External"/><Relationship Id="rId11" Type="http://schemas.openxmlformats.org/officeDocument/2006/relationships/hyperlink" Target="https://ris.pmc.gov.au/sites/default/files/posts/2018/03/final_decision_ris.pdf" TargetMode="External"/><Relationship Id="rId5" Type="http://schemas.openxmlformats.org/officeDocument/2006/relationships/hyperlink" Target="https://www.legislation.wa.gov.au/legislation/statutes.nsf/law_a146643.html" TargetMode="External"/><Relationship Id="rId15" Type="http://schemas.openxmlformats.org/officeDocument/2006/relationships/hyperlink" Target="https://www.cmtedd.act.gov.au/open_government/inform/act_government_media_releases/act-transport-canberra-and-city-services-media-releases/2018/container-deposit-scheme-starts-saturday" TargetMode="External"/><Relationship Id="rId10" Type="http://schemas.openxmlformats.org/officeDocument/2006/relationships/hyperlink" Target="https://www.der.wa.gov.au/images/CDS/CDS-Minimum_network_standards-Refund_point_locations_and_hours_of_operat....pdf" TargetMode="External"/><Relationship Id="rId19" Type="http://schemas.openxmlformats.org/officeDocument/2006/relationships/hyperlink" Target="https://www.der.wa.gov.au/our-work/consultation/69-closed-consultations/504-consultation-regulatory-impact-statement" TargetMode="External"/><Relationship Id="rId4" Type="http://schemas.openxmlformats.org/officeDocument/2006/relationships/hyperlink" Target="http://www.parliament.wa.gov.au/parliament/bills.nsf/BillProgressPopup?openForm&amp;ParentUNID=988116A31DB73F894825835300342EC3" TargetMode="External"/><Relationship Id="rId9" Type="http://schemas.openxmlformats.org/officeDocument/2006/relationships/hyperlink" Target="http://www.wasteauthority.wa.gov.au/about/waste-strategy/review-of-waste-strategy" TargetMode="External"/><Relationship Id="rId14" Type="http://schemas.openxmlformats.org/officeDocument/2006/relationships/hyperlink" Target="http://returnandearn.org.au/" TargetMode="External"/><Relationship Id="rId22" Type="http://schemas.openxmlformats.org/officeDocument/2006/relationships/hyperlink" Target="http://www.transport.nsw.gov.au/sites/default/files/media/documents/2017/principles-and-guidelines-for-economic-appraisal-of-transport-invest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DC2B392535D8F44483C6F22C16A76F9B" ma:contentTypeVersion="" ma:contentTypeDescription="PDMS Document Site Content Type" ma:contentTypeScope="" ma:versionID="ee5fcaca2ec65e95201495530ef8dea6">
  <xsd:schema xmlns:xsd="http://www.w3.org/2001/XMLSchema" xmlns:xs="http://www.w3.org/2001/XMLSchema" xmlns:p="http://schemas.microsoft.com/office/2006/metadata/properties" xmlns:ns2="F3233A0E-050F-44B4-A343-B9945DD0B643" targetNamespace="http://schemas.microsoft.com/office/2006/metadata/properties" ma:root="true" ma:fieldsID="fb2dd481bda91f65c3f0f933bfd85ace" ns2:_="">
    <xsd:import namespace="F3233A0E-050F-44B4-A343-B9945DD0B643"/>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33A0E-050F-44B4-A343-B9945DD0B643"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F3233A0E-050F-44B4-A343-B9945DD0B643" xsi:nil="true"/>
  </documentManagement>
</p:properties>
</file>

<file path=customXml/itemProps1.xml><?xml version="1.0" encoding="utf-8"?>
<ds:datastoreItem xmlns:ds="http://schemas.openxmlformats.org/officeDocument/2006/customXml" ds:itemID="{4B2B92B4-124F-445A-9957-39339B7A8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233A0E-050F-44B4-A343-B9945DD0B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4430AB-F790-4F69-9CC3-B848FB82AE26}">
  <ds:schemaRefs>
    <ds:schemaRef ds:uri="http://schemas.microsoft.com/sharepoint/v3/contenttype/forms"/>
  </ds:schemaRefs>
</ds:datastoreItem>
</file>

<file path=customXml/itemProps3.xml><?xml version="1.0" encoding="utf-8"?>
<ds:datastoreItem xmlns:ds="http://schemas.openxmlformats.org/officeDocument/2006/customXml" ds:itemID="{50B8F6E8-8D31-46B9-91F7-B436202A5717}">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3233A0E-050F-44B4-A343-B9945DD0B643"/>
    <ds:schemaRef ds:uri="http://purl.org/dc/term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26004</Words>
  <Characters>148226</Characters>
  <Application>Microsoft Office Word</Application>
  <DocSecurity>0</DocSecurity>
  <Lines>1235</Lines>
  <Paragraphs>347</Paragraphs>
  <ScaleCrop>false</ScaleCrop>
  <HeadingPairs>
    <vt:vector size="2" baseType="variant">
      <vt:variant>
        <vt:lpstr>Title</vt:lpstr>
      </vt:variant>
      <vt:variant>
        <vt:i4>1</vt:i4>
      </vt:variant>
    </vt:vector>
  </HeadingPairs>
  <TitlesOfParts>
    <vt:vector size="1" baseType="lpstr">
      <vt:lpstr/>
    </vt:vector>
  </TitlesOfParts>
  <Company>INDUSTRY</Company>
  <LinksUpToDate>false</LinksUpToDate>
  <CharactersWithSpaces>173883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Robinson, Lisa</dc:creator>
  <cp:lastModifiedBy>Musolino, Teddy</cp:lastModifiedBy>
  <cp:revision>2</cp:revision>
  <dcterms:created xsi:type="dcterms:W3CDTF">2020-09-14T05:14:00Z</dcterms:created>
  <dcterms:modified xsi:type="dcterms:W3CDTF">2020-09-14T05:14:00Z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0x010100266966F133664895A6EE3632470D45F500DC2B392535D8F44483C6F22C16A76F9B</vt:lpwstr>
  </property>
  <property fmtid="{D5CDD505-2E9C-101B-9397-08002B2CF9AE}" pid="3" name="DocHub_LegalKeywords">
    <vt:lpwstr>689;#Legislation - Regulations and Legislative Instruments|12c6059b-8ffc-46b3-a510-3f53d267eb42</vt:lpwstr>
  </property>
  <property fmtid="{D5CDD505-2E9C-101B-9397-08002B2CF9AE}" pid="4" name="DocHub_Year">
    <vt:lpwstr>13;#2017|5f6de30b-6e1e-4c09-9e51-982258231536</vt:lpwstr>
  </property>
  <property fmtid="{D5CDD505-2E9C-101B-9397-08002B2CF9AE}" pid="5" name="DocHub_LegalToolPurpose">
    <vt:lpwstr/>
  </property>
  <property fmtid="{D5CDD505-2E9C-101B-9397-08002B2CF9AE}" pid="6" name="DocHub_WorkActivity">
    <vt:lpwstr>328;#Legislation and Regulation|6cbc66f5-f4a2-4565-a58b-d5f2d2ac9bd0</vt:lpwstr>
  </property>
  <property fmtid="{D5CDD505-2E9C-101B-9397-08002B2CF9AE}" pid="7" name="DocHub_Keywords">
    <vt:lpwstr>3450;#MRA|9f3eedf4-5d94-4074-bc07-68d2b7f0b95f;#2563;#Container Deposit Scheme|92297895-84ed-4690-a043-0ae5290efc95;#2178;#Trade Facilitation|1ca97d9e-7958-4b17-9627-6b9d8bc82602</vt:lpwstr>
  </property>
  <property fmtid="{D5CDD505-2E9C-101B-9397-08002B2CF9AE}" pid="8" name="DocHub_DocumentType">
    <vt:lpwstr>91;#Template|9b48ba34-650a-488d-9fe8-e5181e10b797</vt:lpwstr>
  </property>
  <property fmtid="{D5CDD505-2E9C-101B-9397-08002B2CF9AE}" pid="9" name="DocHub_SecurityClassification">
    <vt:lpwstr>3;#DLM Only:For Official Use Only|11f6fb0b-52ce-4109-8f7f-521b2a62f692</vt:lpwstr>
  </property>
  <property fmtid="{D5CDD505-2E9C-101B-9397-08002B2CF9AE}" pid="10" name="_dlc_DocIdItemGuid">
    <vt:lpwstr>9b74c25a-be36-43f4-966e-fc02cd827687</vt:lpwstr>
  </property>
</Properties>
</file>