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Default="00193461" w:rsidP="0020300C">
      <w:pPr>
        <w:rPr>
          <w:sz w:val="28"/>
        </w:rPr>
      </w:pPr>
      <w:r>
        <w:rPr>
          <w:noProof/>
          <w:lang w:eastAsia="en-AU"/>
        </w:rPr>
        <w:drawing>
          <wp:inline distT="0" distB="0" distL="0" distR="0" wp14:anchorId="6DB62A6D" wp14:editId="00868D3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Default="0048364F" w:rsidP="0048364F">
      <w:pPr>
        <w:rPr>
          <w:sz w:val="19"/>
        </w:rPr>
      </w:pPr>
    </w:p>
    <w:p w:rsidR="0048364F" w:rsidRDefault="00187BB7" w:rsidP="0048364F">
      <w:pPr>
        <w:pStyle w:val="ShortT"/>
      </w:pPr>
      <w:r w:rsidRPr="00187BB7">
        <w:t>Offshore Petroleum and Greenhouse Gas Storage Legislation Amendment (Cross</w:t>
      </w:r>
      <w:r w:rsidR="00E87941">
        <w:noBreakHyphen/>
      </w:r>
      <w:r w:rsidRPr="00187BB7">
        <w:t>boundary Greenhouse Gas Storage) Regulations 2020</w:t>
      </w:r>
    </w:p>
    <w:p w:rsidR="00AE5F74" w:rsidRPr="0034086C" w:rsidRDefault="00AE5F74" w:rsidP="00AE5F74">
      <w:pPr>
        <w:pStyle w:val="SignCoverPageStart"/>
        <w:spacing w:before="240"/>
        <w:rPr>
          <w:szCs w:val="22"/>
        </w:rPr>
      </w:pPr>
      <w:r w:rsidRPr="0034086C">
        <w:rPr>
          <w:szCs w:val="22"/>
        </w:rPr>
        <w:t xml:space="preserve">I, </w:t>
      </w:r>
      <w:r>
        <w:rPr>
          <w:szCs w:val="22"/>
        </w:rPr>
        <w:t>General the Honourable David Hurley AC DSC (</w:t>
      </w:r>
      <w:proofErr w:type="spellStart"/>
      <w:r>
        <w:rPr>
          <w:szCs w:val="22"/>
        </w:rPr>
        <w:t>Retd</w:t>
      </w:r>
      <w:proofErr w:type="spellEnd"/>
      <w:r>
        <w:rPr>
          <w:szCs w:val="22"/>
        </w:rPr>
        <w:t>)</w:t>
      </w:r>
      <w:r w:rsidRPr="0034086C">
        <w:rPr>
          <w:szCs w:val="22"/>
        </w:rPr>
        <w:t xml:space="preserve">, </w:t>
      </w:r>
      <w:r>
        <w:rPr>
          <w:szCs w:val="22"/>
        </w:rPr>
        <w:t>Governor</w:t>
      </w:r>
      <w:r w:rsidR="00E87941">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rsidR="00AE5F74" w:rsidRPr="0034086C" w:rsidRDefault="00AE5F74" w:rsidP="00AE5F74">
      <w:pPr>
        <w:keepNext/>
        <w:spacing w:before="720" w:line="240" w:lineRule="atLeast"/>
        <w:ind w:right="397"/>
        <w:jc w:val="both"/>
        <w:rPr>
          <w:szCs w:val="22"/>
        </w:rPr>
      </w:pPr>
      <w:r w:rsidRPr="0034086C">
        <w:rPr>
          <w:szCs w:val="22"/>
        </w:rPr>
        <w:t xml:space="preserve">Dated </w:t>
      </w:r>
      <w:bookmarkStart w:id="0" w:name="BKCheck15B_1"/>
      <w:bookmarkEnd w:id="0"/>
      <w:r w:rsidRPr="0034086C">
        <w:rPr>
          <w:szCs w:val="22"/>
        </w:rPr>
        <w:fldChar w:fldCharType="begin"/>
      </w:r>
      <w:r w:rsidRPr="0034086C">
        <w:rPr>
          <w:szCs w:val="22"/>
        </w:rPr>
        <w:instrText xml:space="preserve"> DOCPROPERTY  DateMade </w:instrText>
      </w:r>
      <w:r w:rsidRPr="0034086C">
        <w:rPr>
          <w:szCs w:val="22"/>
        </w:rPr>
        <w:fldChar w:fldCharType="separate"/>
      </w:r>
      <w:r w:rsidR="00CC5239">
        <w:rPr>
          <w:szCs w:val="22"/>
        </w:rPr>
        <w:t>17 September 2020</w:t>
      </w:r>
      <w:r w:rsidRPr="0034086C">
        <w:rPr>
          <w:szCs w:val="22"/>
        </w:rPr>
        <w:fldChar w:fldCharType="end"/>
      </w:r>
    </w:p>
    <w:p w:rsidR="00AE5F74" w:rsidRPr="0034086C" w:rsidRDefault="00AE5F74" w:rsidP="00AE5F74">
      <w:pPr>
        <w:keepNext/>
        <w:tabs>
          <w:tab w:val="left" w:pos="3402"/>
        </w:tabs>
        <w:spacing w:before="1080" w:line="300" w:lineRule="atLeast"/>
        <w:ind w:left="397" w:right="397"/>
        <w:jc w:val="right"/>
        <w:rPr>
          <w:szCs w:val="22"/>
        </w:rPr>
      </w:pPr>
      <w:r>
        <w:rPr>
          <w:szCs w:val="22"/>
        </w:rPr>
        <w:t>David Hurley</w:t>
      </w:r>
    </w:p>
    <w:p w:rsidR="00AE5F74" w:rsidRPr="0034086C" w:rsidRDefault="00AE5F74" w:rsidP="00AE5F74">
      <w:pPr>
        <w:keepNext/>
        <w:tabs>
          <w:tab w:val="left" w:pos="3402"/>
        </w:tabs>
        <w:spacing w:line="300" w:lineRule="atLeast"/>
        <w:ind w:left="397" w:right="397"/>
        <w:jc w:val="right"/>
        <w:rPr>
          <w:szCs w:val="22"/>
        </w:rPr>
      </w:pPr>
      <w:r>
        <w:rPr>
          <w:szCs w:val="22"/>
        </w:rPr>
        <w:t>Governor</w:t>
      </w:r>
      <w:r w:rsidR="00E87941">
        <w:rPr>
          <w:szCs w:val="22"/>
        </w:rPr>
        <w:noBreakHyphen/>
      </w:r>
      <w:r>
        <w:rPr>
          <w:szCs w:val="22"/>
        </w:rPr>
        <w:t>General</w:t>
      </w:r>
    </w:p>
    <w:p w:rsidR="00AE5F74" w:rsidRPr="0034086C" w:rsidRDefault="00AE5F74" w:rsidP="00AE5F74">
      <w:pPr>
        <w:keepNext/>
        <w:tabs>
          <w:tab w:val="left" w:pos="3402"/>
        </w:tabs>
        <w:spacing w:before="840" w:after="1080" w:line="300" w:lineRule="atLeast"/>
        <w:ind w:right="397"/>
        <w:rPr>
          <w:szCs w:val="22"/>
        </w:rPr>
      </w:pPr>
      <w:r w:rsidRPr="0034086C">
        <w:rPr>
          <w:szCs w:val="22"/>
        </w:rPr>
        <w:t>By His Excellency’s Command</w:t>
      </w:r>
    </w:p>
    <w:p w:rsidR="00AE5F74" w:rsidRPr="0034086C" w:rsidRDefault="00AE5F74" w:rsidP="00AE5F74">
      <w:pPr>
        <w:keepNext/>
        <w:tabs>
          <w:tab w:val="left" w:pos="3402"/>
        </w:tabs>
        <w:spacing w:before="480" w:line="300" w:lineRule="atLeast"/>
        <w:ind w:right="397"/>
        <w:rPr>
          <w:szCs w:val="22"/>
        </w:rPr>
      </w:pPr>
      <w:r>
        <w:rPr>
          <w:szCs w:val="22"/>
        </w:rPr>
        <w:t>Keith Pitt</w:t>
      </w:r>
    </w:p>
    <w:p w:rsidR="00AE5F74" w:rsidRPr="001F2C7F" w:rsidRDefault="00AE5F74" w:rsidP="00AE5F74">
      <w:pPr>
        <w:pStyle w:val="SignCoverPageEnd"/>
        <w:rPr>
          <w:szCs w:val="22"/>
        </w:rPr>
      </w:pPr>
      <w:r>
        <w:rPr>
          <w:szCs w:val="22"/>
        </w:rPr>
        <w:t>Minister for Resources, Water and Northern Australia</w:t>
      </w:r>
    </w:p>
    <w:p w:rsidR="00AE5F74" w:rsidRDefault="00AE5F74" w:rsidP="00AE5F74"/>
    <w:p w:rsidR="00AE5F74" w:rsidRDefault="00AE5F74" w:rsidP="00AE5F74"/>
    <w:p w:rsidR="00AE5F74" w:rsidRDefault="00AE5F74" w:rsidP="00AE5F74"/>
    <w:p w:rsidR="0048364F" w:rsidRPr="00E47068" w:rsidRDefault="0048364F" w:rsidP="0048364F">
      <w:pPr>
        <w:pStyle w:val="Header"/>
        <w:tabs>
          <w:tab w:val="clear" w:pos="4150"/>
          <w:tab w:val="clear" w:pos="8307"/>
        </w:tabs>
      </w:pPr>
      <w:r w:rsidRPr="00E47068">
        <w:rPr>
          <w:rStyle w:val="CharAmSchNo"/>
        </w:rPr>
        <w:t xml:space="preserve"> </w:t>
      </w:r>
      <w:r w:rsidRPr="00E47068">
        <w:rPr>
          <w:rStyle w:val="CharAmSchText"/>
        </w:rPr>
        <w:t xml:space="preserve"> </w:t>
      </w:r>
    </w:p>
    <w:p w:rsidR="0048364F" w:rsidRPr="00E47068" w:rsidRDefault="0048364F" w:rsidP="0048364F">
      <w:pPr>
        <w:pStyle w:val="Header"/>
        <w:tabs>
          <w:tab w:val="clear" w:pos="4150"/>
          <w:tab w:val="clear" w:pos="8307"/>
        </w:tabs>
      </w:pPr>
      <w:r w:rsidRPr="00E47068">
        <w:rPr>
          <w:rStyle w:val="CharAmPartNo"/>
        </w:rPr>
        <w:t xml:space="preserve"> </w:t>
      </w:r>
      <w:r w:rsidRPr="00E47068">
        <w:rPr>
          <w:rStyle w:val="CharAmPartText"/>
        </w:rPr>
        <w:t xml:space="preserve"> </w:t>
      </w:r>
    </w:p>
    <w:p w:rsidR="0048364F" w:rsidRDefault="0048364F" w:rsidP="0048364F">
      <w:pPr>
        <w:sectPr w:rsidR="0048364F" w:rsidSect="00C339C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Default="0048364F" w:rsidP="0048364F">
      <w:pPr>
        <w:outlineLvl w:val="0"/>
        <w:rPr>
          <w:sz w:val="36"/>
        </w:rPr>
      </w:pPr>
      <w:r w:rsidRPr="007A1328">
        <w:rPr>
          <w:sz w:val="36"/>
        </w:rPr>
        <w:lastRenderedPageBreak/>
        <w:t>Contents</w:t>
      </w:r>
    </w:p>
    <w:bookmarkStart w:id="1" w:name="BKCheck15B_2"/>
    <w:bookmarkEnd w:id="1"/>
    <w:p w:rsidR="0075593B" w:rsidRDefault="0075593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75593B">
        <w:rPr>
          <w:noProof/>
        </w:rPr>
        <w:tab/>
      </w:r>
      <w:r w:rsidRPr="0075593B">
        <w:rPr>
          <w:noProof/>
        </w:rPr>
        <w:fldChar w:fldCharType="begin"/>
      </w:r>
      <w:r w:rsidRPr="0075593B">
        <w:rPr>
          <w:noProof/>
        </w:rPr>
        <w:instrText xml:space="preserve"> PAGEREF _Toc44409086 \h </w:instrText>
      </w:r>
      <w:r w:rsidRPr="0075593B">
        <w:rPr>
          <w:noProof/>
        </w:rPr>
      </w:r>
      <w:r w:rsidRPr="0075593B">
        <w:rPr>
          <w:noProof/>
        </w:rPr>
        <w:fldChar w:fldCharType="separate"/>
      </w:r>
      <w:r w:rsidR="00CC5239">
        <w:rPr>
          <w:noProof/>
        </w:rPr>
        <w:t>1</w:t>
      </w:r>
      <w:r w:rsidRPr="0075593B">
        <w:rPr>
          <w:noProof/>
        </w:rPr>
        <w:fldChar w:fldCharType="end"/>
      </w:r>
    </w:p>
    <w:p w:rsidR="0075593B" w:rsidRDefault="0075593B">
      <w:pPr>
        <w:pStyle w:val="TOC5"/>
        <w:rPr>
          <w:rFonts w:asciiTheme="minorHAnsi" w:eastAsiaTheme="minorEastAsia" w:hAnsiTheme="minorHAnsi" w:cstheme="minorBidi"/>
          <w:noProof/>
          <w:kern w:val="0"/>
          <w:sz w:val="22"/>
          <w:szCs w:val="22"/>
        </w:rPr>
      </w:pPr>
      <w:r>
        <w:rPr>
          <w:noProof/>
        </w:rPr>
        <w:t>2</w:t>
      </w:r>
      <w:r>
        <w:rPr>
          <w:noProof/>
        </w:rPr>
        <w:tab/>
        <w:t>Commencement</w:t>
      </w:r>
      <w:r w:rsidRPr="0075593B">
        <w:rPr>
          <w:noProof/>
        </w:rPr>
        <w:tab/>
      </w:r>
      <w:r w:rsidRPr="0075593B">
        <w:rPr>
          <w:noProof/>
        </w:rPr>
        <w:fldChar w:fldCharType="begin"/>
      </w:r>
      <w:r w:rsidRPr="0075593B">
        <w:rPr>
          <w:noProof/>
        </w:rPr>
        <w:instrText xml:space="preserve"> PAGEREF _Toc44409087 \h </w:instrText>
      </w:r>
      <w:r w:rsidRPr="0075593B">
        <w:rPr>
          <w:noProof/>
        </w:rPr>
      </w:r>
      <w:r w:rsidRPr="0075593B">
        <w:rPr>
          <w:noProof/>
        </w:rPr>
        <w:fldChar w:fldCharType="separate"/>
      </w:r>
      <w:r w:rsidR="00CC5239">
        <w:rPr>
          <w:noProof/>
        </w:rPr>
        <w:t>1</w:t>
      </w:r>
      <w:r w:rsidRPr="0075593B">
        <w:rPr>
          <w:noProof/>
        </w:rPr>
        <w:fldChar w:fldCharType="end"/>
      </w:r>
    </w:p>
    <w:p w:rsidR="0075593B" w:rsidRDefault="0075593B">
      <w:pPr>
        <w:pStyle w:val="TOC5"/>
        <w:rPr>
          <w:rFonts w:asciiTheme="minorHAnsi" w:eastAsiaTheme="minorEastAsia" w:hAnsiTheme="minorHAnsi" w:cstheme="minorBidi"/>
          <w:noProof/>
          <w:kern w:val="0"/>
          <w:sz w:val="22"/>
          <w:szCs w:val="22"/>
        </w:rPr>
      </w:pPr>
      <w:r>
        <w:rPr>
          <w:noProof/>
        </w:rPr>
        <w:t>3</w:t>
      </w:r>
      <w:r>
        <w:rPr>
          <w:noProof/>
        </w:rPr>
        <w:tab/>
        <w:t>Authority</w:t>
      </w:r>
      <w:r w:rsidRPr="0075593B">
        <w:rPr>
          <w:noProof/>
        </w:rPr>
        <w:tab/>
      </w:r>
      <w:r w:rsidRPr="0075593B">
        <w:rPr>
          <w:noProof/>
        </w:rPr>
        <w:fldChar w:fldCharType="begin"/>
      </w:r>
      <w:r w:rsidRPr="0075593B">
        <w:rPr>
          <w:noProof/>
        </w:rPr>
        <w:instrText xml:space="preserve"> PAGEREF _Toc44409088 \h </w:instrText>
      </w:r>
      <w:r w:rsidRPr="0075593B">
        <w:rPr>
          <w:noProof/>
        </w:rPr>
      </w:r>
      <w:r w:rsidRPr="0075593B">
        <w:rPr>
          <w:noProof/>
        </w:rPr>
        <w:fldChar w:fldCharType="separate"/>
      </w:r>
      <w:r w:rsidR="00CC5239">
        <w:rPr>
          <w:noProof/>
        </w:rPr>
        <w:t>1</w:t>
      </w:r>
      <w:r w:rsidRPr="0075593B">
        <w:rPr>
          <w:noProof/>
        </w:rPr>
        <w:fldChar w:fldCharType="end"/>
      </w:r>
    </w:p>
    <w:p w:rsidR="0075593B" w:rsidRDefault="0075593B">
      <w:pPr>
        <w:pStyle w:val="TOC5"/>
        <w:rPr>
          <w:rFonts w:asciiTheme="minorHAnsi" w:eastAsiaTheme="minorEastAsia" w:hAnsiTheme="minorHAnsi" w:cstheme="minorBidi"/>
          <w:noProof/>
          <w:kern w:val="0"/>
          <w:sz w:val="22"/>
          <w:szCs w:val="22"/>
        </w:rPr>
      </w:pPr>
      <w:r>
        <w:rPr>
          <w:noProof/>
        </w:rPr>
        <w:t>4</w:t>
      </w:r>
      <w:r>
        <w:rPr>
          <w:noProof/>
        </w:rPr>
        <w:tab/>
        <w:t>Schedules</w:t>
      </w:r>
      <w:r w:rsidRPr="0075593B">
        <w:rPr>
          <w:noProof/>
        </w:rPr>
        <w:tab/>
      </w:r>
      <w:r w:rsidRPr="0075593B">
        <w:rPr>
          <w:noProof/>
        </w:rPr>
        <w:fldChar w:fldCharType="begin"/>
      </w:r>
      <w:r w:rsidRPr="0075593B">
        <w:rPr>
          <w:noProof/>
        </w:rPr>
        <w:instrText xml:space="preserve"> PAGEREF _Toc44409089 \h </w:instrText>
      </w:r>
      <w:r w:rsidRPr="0075593B">
        <w:rPr>
          <w:noProof/>
        </w:rPr>
      </w:r>
      <w:r w:rsidRPr="0075593B">
        <w:rPr>
          <w:noProof/>
        </w:rPr>
        <w:fldChar w:fldCharType="separate"/>
      </w:r>
      <w:r w:rsidR="00CC5239">
        <w:rPr>
          <w:noProof/>
        </w:rPr>
        <w:t>1</w:t>
      </w:r>
      <w:r w:rsidRPr="0075593B">
        <w:rPr>
          <w:noProof/>
        </w:rPr>
        <w:fldChar w:fldCharType="end"/>
      </w:r>
    </w:p>
    <w:p w:rsidR="0075593B" w:rsidRDefault="0075593B">
      <w:pPr>
        <w:pStyle w:val="TOC6"/>
        <w:rPr>
          <w:rFonts w:asciiTheme="minorHAnsi" w:eastAsiaTheme="minorEastAsia" w:hAnsiTheme="minorHAnsi" w:cstheme="minorBidi"/>
          <w:b w:val="0"/>
          <w:noProof/>
          <w:kern w:val="0"/>
          <w:sz w:val="22"/>
          <w:szCs w:val="22"/>
        </w:rPr>
      </w:pPr>
      <w:r>
        <w:rPr>
          <w:noProof/>
        </w:rPr>
        <w:t>Schedule 1—Main amendments</w:t>
      </w:r>
      <w:r w:rsidRPr="0075593B">
        <w:rPr>
          <w:b w:val="0"/>
          <w:noProof/>
          <w:sz w:val="18"/>
        </w:rPr>
        <w:tab/>
      </w:r>
      <w:r w:rsidRPr="0075593B">
        <w:rPr>
          <w:b w:val="0"/>
          <w:noProof/>
          <w:sz w:val="18"/>
        </w:rPr>
        <w:fldChar w:fldCharType="begin"/>
      </w:r>
      <w:r w:rsidRPr="0075593B">
        <w:rPr>
          <w:b w:val="0"/>
          <w:noProof/>
          <w:sz w:val="18"/>
        </w:rPr>
        <w:instrText xml:space="preserve"> PAGEREF _Toc44409090 \h </w:instrText>
      </w:r>
      <w:r w:rsidRPr="0075593B">
        <w:rPr>
          <w:b w:val="0"/>
          <w:noProof/>
          <w:sz w:val="18"/>
        </w:rPr>
      </w:r>
      <w:r w:rsidRPr="0075593B">
        <w:rPr>
          <w:b w:val="0"/>
          <w:noProof/>
          <w:sz w:val="18"/>
        </w:rPr>
        <w:fldChar w:fldCharType="separate"/>
      </w:r>
      <w:r w:rsidR="00CC5239">
        <w:rPr>
          <w:b w:val="0"/>
          <w:noProof/>
          <w:sz w:val="18"/>
        </w:rPr>
        <w:t>2</w:t>
      </w:r>
      <w:r w:rsidRPr="0075593B">
        <w:rPr>
          <w:b w:val="0"/>
          <w:noProof/>
          <w:sz w:val="18"/>
        </w:rPr>
        <w:fldChar w:fldCharType="end"/>
      </w:r>
    </w:p>
    <w:p w:rsidR="0075593B" w:rsidRDefault="0075593B">
      <w:pPr>
        <w:pStyle w:val="TOC9"/>
        <w:rPr>
          <w:rFonts w:asciiTheme="minorHAnsi" w:eastAsiaTheme="minorEastAsia" w:hAnsiTheme="minorHAnsi" w:cstheme="minorBidi"/>
          <w:i w:val="0"/>
          <w:noProof/>
          <w:kern w:val="0"/>
          <w:sz w:val="22"/>
          <w:szCs w:val="22"/>
        </w:rPr>
      </w:pPr>
      <w:r>
        <w:rPr>
          <w:noProof/>
        </w:rPr>
        <w:t>Offshore Petroleum and Greenhouse Gas Storage (Greenhouse Gas Injection and Storage) Regulations 2011</w:t>
      </w:r>
      <w:r w:rsidRPr="0075593B">
        <w:rPr>
          <w:i w:val="0"/>
          <w:noProof/>
          <w:sz w:val="18"/>
        </w:rPr>
        <w:tab/>
      </w:r>
      <w:r w:rsidRPr="0075593B">
        <w:rPr>
          <w:i w:val="0"/>
          <w:noProof/>
          <w:sz w:val="18"/>
        </w:rPr>
        <w:fldChar w:fldCharType="begin"/>
      </w:r>
      <w:r w:rsidRPr="0075593B">
        <w:rPr>
          <w:i w:val="0"/>
          <w:noProof/>
          <w:sz w:val="18"/>
        </w:rPr>
        <w:instrText xml:space="preserve"> PAGEREF _Toc44409091 \h </w:instrText>
      </w:r>
      <w:r w:rsidRPr="0075593B">
        <w:rPr>
          <w:i w:val="0"/>
          <w:noProof/>
          <w:sz w:val="18"/>
        </w:rPr>
      </w:r>
      <w:r w:rsidRPr="0075593B">
        <w:rPr>
          <w:i w:val="0"/>
          <w:noProof/>
          <w:sz w:val="18"/>
        </w:rPr>
        <w:fldChar w:fldCharType="separate"/>
      </w:r>
      <w:r w:rsidR="00CC5239">
        <w:rPr>
          <w:i w:val="0"/>
          <w:noProof/>
          <w:sz w:val="18"/>
        </w:rPr>
        <w:t>2</w:t>
      </w:r>
      <w:r w:rsidRPr="0075593B">
        <w:rPr>
          <w:i w:val="0"/>
          <w:noProof/>
          <w:sz w:val="18"/>
        </w:rPr>
        <w:fldChar w:fldCharType="end"/>
      </w:r>
    </w:p>
    <w:p w:rsidR="0075593B" w:rsidRDefault="0075593B">
      <w:pPr>
        <w:pStyle w:val="TOC9"/>
        <w:rPr>
          <w:rFonts w:asciiTheme="minorHAnsi" w:eastAsiaTheme="minorEastAsia" w:hAnsiTheme="minorHAnsi" w:cstheme="minorBidi"/>
          <w:i w:val="0"/>
          <w:noProof/>
          <w:kern w:val="0"/>
          <w:sz w:val="22"/>
          <w:szCs w:val="22"/>
        </w:rPr>
      </w:pPr>
      <w:r>
        <w:rPr>
          <w:noProof/>
        </w:rPr>
        <w:t>Offshore Petroleum and Greenhouse Gas Storage (Resource Management and Administration) Regulations 2011</w:t>
      </w:r>
      <w:r w:rsidRPr="0075593B">
        <w:rPr>
          <w:i w:val="0"/>
          <w:noProof/>
          <w:sz w:val="18"/>
        </w:rPr>
        <w:tab/>
      </w:r>
      <w:r w:rsidRPr="0075593B">
        <w:rPr>
          <w:i w:val="0"/>
          <w:noProof/>
          <w:sz w:val="18"/>
        </w:rPr>
        <w:fldChar w:fldCharType="begin"/>
      </w:r>
      <w:r w:rsidRPr="0075593B">
        <w:rPr>
          <w:i w:val="0"/>
          <w:noProof/>
          <w:sz w:val="18"/>
        </w:rPr>
        <w:instrText xml:space="preserve"> PAGEREF _Toc44409094 \h </w:instrText>
      </w:r>
      <w:r w:rsidRPr="0075593B">
        <w:rPr>
          <w:i w:val="0"/>
          <w:noProof/>
          <w:sz w:val="18"/>
        </w:rPr>
      </w:r>
      <w:r w:rsidRPr="0075593B">
        <w:rPr>
          <w:i w:val="0"/>
          <w:noProof/>
          <w:sz w:val="18"/>
        </w:rPr>
        <w:fldChar w:fldCharType="separate"/>
      </w:r>
      <w:r w:rsidR="00CC5239">
        <w:rPr>
          <w:i w:val="0"/>
          <w:noProof/>
          <w:sz w:val="18"/>
        </w:rPr>
        <w:t>5</w:t>
      </w:r>
      <w:r w:rsidRPr="0075593B">
        <w:rPr>
          <w:i w:val="0"/>
          <w:noProof/>
          <w:sz w:val="18"/>
        </w:rPr>
        <w:fldChar w:fldCharType="end"/>
      </w:r>
    </w:p>
    <w:p w:rsidR="0075593B" w:rsidRDefault="0075593B">
      <w:pPr>
        <w:pStyle w:val="TOC6"/>
        <w:rPr>
          <w:rFonts w:asciiTheme="minorHAnsi" w:eastAsiaTheme="minorEastAsia" w:hAnsiTheme="minorHAnsi" w:cstheme="minorBidi"/>
          <w:b w:val="0"/>
          <w:noProof/>
          <w:kern w:val="0"/>
          <w:sz w:val="22"/>
          <w:szCs w:val="22"/>
        </w:rPr>
      </w:pPr>
      <w:r>
        <w:rPr>
          <w:noProof/>
        </w:rPr>
        <w:t>Schedule 2—Amendments relating to environment plans</w:t>
      </w:r>
      <w:r w:rsidRPr="0075593B">
        <w:rPr>
          <w:b w:val="0"/>
          <w:noProof/>
          <w:sz w:val="18"/>
        </w:rPr>
        <w:tab/>
      </w:r>
      <w:r w:rsidRPr="0075593B">
        <w:rPr>
          <w:b w:val="0"/>
          <w:noProof/>
          <w:sz w:val="18"/>
        </w:rPr>
        <w:fldChar w:fldCharType="begin"/>
      </w:r>
      <w:r w:rsidRPr="0075593B">
        <w:rPr>
          <w:b w:val="0"/>
          <w:noProof/>
          <w:sz w:val="18"/>
        </w:rPr>
        <w:instrText xml:space="preserve"> PAGEREF _Toc44409097 \h </w:instrText>
      </w:r>
      <w:r w:rsidRPr="0075593B">
        <w:rPr>
          <w:b w:val="0"/>
          <w:noProof/>
          <w:sz w:val="18"/>
        </w:rPr>
      </w:r>
      <w:r w:rsidRPr="0075593B">
        <w:rPr>
          <w:b w:val="0"/>
          <w:noProof/>
          <w:sz w:val="18"/>
        </w:rPr>
        <w:fldChar w:fldCharType="separate"/>
      </w:r>
      <w:r w:rsidR="00CC5239">
        <w:rPr>
          <w:b w:val="0"/>
          <w:noProof/>
          <w:sz w:val="18"/>
        </w:rPr>
        <w:t>7</w:t>
      </w:r>
      <w:r w:rsidRPr="0075593B">
        <w:rPr>
          <w:b w:val="0"/>
          <w:noProof/>
          <w:sz w:val="18"/>
        </w:rPr>
        <w:fldChar w:fldCharType="end"/>
      </w:r>
    </w:p>
    <w:p w:rsidR="0075593B" w:rsidRDefault="0075593B">
      <w:pPr>
        <w:pStyle w:val="TOC9"/>
        <w:rPr>
          <w:rFonts w:asciiTheme="minorHAnsi" w:eastAsiaTheme="minorEastAsia" w:hAnsiTheme="minorHAnsi" w:cstheme="minorBidi"/>
          <w:i w:val="0"/>
          <w:noProof/>
          <w:kern w:val="0"/>
          <w:sz w:val="22"/>
          <w:szCs w:val="22"/>
        </w:rPr>
      </w:pPr>
      <w:r>
        <w:rPr>
          <w:noProof/>
        </w:rPr>
        <w:t>Offshore Petroleum and Greenhouse Gas Storage (Resource Management and Administration) Regulations 2011</w:t>
      </w:r>
      <w:r w:rsidRPr="0075593B">
        <w:rPr>
          <w:i w:val="0"/>
          <w:noProof/>
          <w:sz w:val="18"/>
        </w:rPr>
        <w:tab/>
      </w:r>
      <w:r w:rsidRPr="0075593B">
        <w:rPr>
          <w:i w:val="0"/>
          <w:noProof/>
          <w:sz w:val="18"/>
        </w:rPr>
        <w:fldChar w:fldCharType="begin"/>
      </w:r>
      <w:r w:rsidRPr="0075593B">
        <w:rPr>
          <w:i w:val="0"/>
          <w:noProof/>
          <w:sz w:val="18"/>
        </w:rPr>
        <w:instrText xml:space="preserve"> PAGEREF _Toc44409098 \h </w:instrText>
      </w:r>
      <w:r w:rsidRPr="0075593B">
        <w:rPr>
          <w:i w:val="0"/>
          <w:noProof/>
          <w:sz w:val="18"/>
        </w:rPr>
      </w:r>
      <w:r w:rsidRPr="0075593B">
        <w:rPr>
          <w:i w:val="0"/>
          <w:noProof/>
          <w:sz w:val="18"/>
        </w:rPr>
        <w:fldChar w:fldCharType="separate"/>
      </w:r>
      <w:r w:rsidR="00CC5239">
        <w:rPr>
          <w:i w:val="0"/>
          <w:noProof/>
          <w:sz w:val="18"/>
        </w:rPr>
        <w:t>7</w:t>
      </w:r>
      <w:r w:rsidRPr="0075593B">
        <w:rPr>
          <w:i w:val="0"/>
          <w:noProof/>
          <w:sz w:val="18"/>
        </w:rPr>
        <w:fldChar w:fldCharType="end"/>
      </w:r>
    </w:p>
    <w:p w:rsidR="0048364F" w:rsidRPr="007A1328" w:rsidRDefault="0075593B" w:rsidP="0048364F">
      <w:r>
        <w:fldChar w:fldCharType="end"/>
      </w:r>
    </w:p>
    <w:p w:rsidR="0048364F" w:rsidRDefault="0048364F" w:rsidP="0048364F">
      <w:pPr>
        <w:sectPr w:rsidR="0048364F" w:rsidSect="00C339C6">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Default="0048364F" w:rsidP="0048364F">
      <w:pPr>
        <w:pStyle w:val="ActHead5"/>
      </w:pPr>
      <w:bookmarkStart w:id="2" w:name="_Toc44409086"/>
      <w:r w:rsidRPr="00E47068">
        <w:rPr>
          <w:rStyle w:val="CharSectno"/>
        </w:rPr>
        <w:lastRenderedPageBreak/>
        <w:t>1</w:t>
      </w:r>
      <w:r>
        <w:t xml:space="preserve">  </w:t>
      </w:r>
      <w:r w:rsidR="004F676E">
        <w:t>Name</w:t>
      </w:r>
      <w:bookmarkEnd w:id="2"/>
    </w:p>
    <w:p w:rsidR="0048364F" w:rsidRDefault="0048364F" w:rsidP="0048364F">
      <w:pPr>
        <w:pStyle w:val="subsection"/>
      </w:pPr>
      <w:r>
        <w:tab/>
      </w:r>
      <w:r>
        <w:tab/>
      </w:r>
      <w:r w:rsidR="00187BB7">
        <w:t>This instrument is</w:t>
      </w:r>
      <w:r>
        <w:t xml:space="preserve"> the </w:t>
      </w:r>
      <w:r w:rsidR="00187BB7" w:rsidRPr="00187BB7">
        <w:rPr>
          <w:i/>
        </w:rPr>
        <w:t>Offshore Petroleum and Greenhouse Gas Storage Legislation Amendment (Cross</w:t>
      </w:r>
      <w:r w:rsidR="00E87941">
        <w:rPr>
          <w:i/>
        </w:rPr>
        <w:noBreakHyphen/>
      </w:r>
      <w:r w:rsidR="00187BB7" w:rsidRPr="00187BB7">
        <w:rPr>
          <w:i/>
        </w:rPr>
        <w:t>boundary Greenhouse Gas Storage) Regulations 2020</w:t>
      </w:r>
      <w:r>
        <w:t>.</w:t>
      </w:r>
    </w:p>
    <w:p w:rsidR="004F676E" w:rsidRDefault="0048364F" w:rsidP="005452CC">
      <w:pPr>
        <w:pStyle w:val="ActHead5"/>
      </w:pPr>
      <w:bookmarkStart w:id="3" w:name="_Toc44409087"/>
      <w:r w:rsidRPr="00E47068">
        <w:rPr>
          <w:rStyle w:val="CharSectno"/>
        </w:rPr>
        <w:t>2</w:t>
      </w:r>
      <w:r>
        <w:t xml:space="preserve">  Commencement</w:t>
      </w:r>
      <w:bookmarkEnd w:id="3"/>
    </w:p>
    <w:p w:rsidR="005452CC" w:rsidRDefault="005452CC" w:rsidP="00AE5F74">
      <w:pPr>
        <w:pStyle w:val="subsection"/>
      </w:pPr>
      <w:r>
        <w:tab/>
        <w:t>(1)</w:t>
      </w:r>
      <w:r>
        <w:tab/>
        <w:t xml:space="preserve">Each provision of </w:t>
      </w:r>
      <w:r w:rsidR="00187BB7">
        <w:t>this instrument</w:t>
      </w:r>
      <w:r>
        <w:t xml:space="preserve"> specified in column 1 of the table commences, or is taken to have commenced, in accordance with column 2 of the table. Any other statement in column 2 has effect according to its terms.</w:t>
      </w:r>
    </w:p>
    <w:p w:rsidR="005452CC" w:rsidRDefault="005452CC" w:rsidP="00AE5F7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Tr="009533BA">
        <w:trPr>
          <w:tblHeader/>
        </w:trPr>
        <w:tc>
          <w:tcPr>
            <w:tcW w:w="8364" w:type="dxa"/>
            <w:gridSpan w:val="3"/>
            <w:tcBorders>
              <w:top w:val="single" w:sz="12" w:space="0" w:color="auto"/>
              <w:bottom w:val="single" w:sz="6" w:space="0" w:color="auto"/>
            </w:tcBorders>
            <w:shd w:val="clear" w:color="auto" w:fill="auto"/>
            <w:hideMark/>
          </w:tcPr>
          <w:p w:rsidR="005452CC" w:rsidRPr="00416235" w:rsidRDefault="005452CC" w:rsidP="00AE5F74">
            <w:pPr>
              <w:pStyle w:val="TableHeading"/>
            </w:pPr>
            <w:r w:rsidRPr="00416235">
              <w:t>Commencement information</w:t>
            </w:r>
          </w:p>
        </w:tc>
      </w:tr>
      <w:tr w:rsidR="005452CC" w:rsidRPr="00416235" w:rsidTr="009533BA">
        <w:trPr>
          <w:tblHeader/>
        </w:trPr>
        <w:tc>
          <w:tcPr>
            <w:tcW w:w="2127" w:type="dxa"/>
            <w:tcBorders>
              <w:top w:val="single" w:sz="6" w:space="0" w:color="auto"/>
              <w:bottom w:val="single" w:sz="6" w:space="0" w:color="auto"/>
            </w:tcBorders>
            <w:shd w:val="clear" w:color="auto" w:fill="auto"/>
            <w:hideMark/>
          </w:tcPr>
          <w:p w:rsidR="005452CC" w:rsidRPr="00416235" w:rsidRDefault="005452CC" w:rsidP="00AE5F74">
            <w:pPr>
              <w:pStyle w:val="TableHeading"/>
            </w:pPr>
            <w:r w:rsidRPr="00416235">
              <w:t>Column 1</w:t>
            </w:r>
          </w:p>
        </w:tc>
        <w:tc>
          <w:tcPr>
            <w:tcW w:w="4394" w:type="dxa"/>
            <w:tcBorders>
              <w:top w:val="single" w:sz="6" w:space="0" w:color="auto"/>
              <w:bottom w:val="single" w:sz="6" w:space="0" w:color="auto"/>
            </w:tcBorders>
            <w:shd w:val="clear" w:color="auto" w:fill="auto"/>
            <w:hideMark/>
          </w:tcPr>
          <w:p w:rsidR="005452CC" w:rsidRPr="00416235" w:rsidRDefault="005452CC" w:rsidP="00AE5F74">
            <w:pPr>
              <w:pStyle w:val="TableHeading"/>
            </w:pPr>
            <w:r w:rsidRPr="00416235">
              <w:t>Column 2</w:t>
            </w:r>
          </w:p>
        </w:tc>
        <w:tc>
          <w:tcPr>
            <w:tcW w:w="1843" w:type="dxa"/>
            <w:tcBorders>
              <w:top w:val="single" w:sz="6" w:space="0" w:color="auto"/>
              <w:bottom w:val="single" w:sz="6" w:space="0" w:color="auto"/>
            </w:tcBorders>
            <w:shd w:val="clear" w:color="auto" w:fill="auto"/>
            <w:hideMark/>
          </w:tcPr>
          <w:p w:rsidR="005452CC" w:rsidRPr="00416235" w:rsidRDefault="005452CC" w:rsidP="00AE5F74">
            <w:pPr>
              <w:pStyle w:val="TableHeading"/>
            </w:pPr>
            <w:r w:rsidRPr="00416235">
              <w:t>Column 3</w:t>
            </w:r>
          </w:p>
        </w:tc>
      </w:tr>
      <w:tr w:rsidR="005452CC" w:rsidTr="009533BA">
        <w:trPr>
          <w:tblHeader/>
        </w:trPr>
        <w:tc>
          <w:tcPr>
            <w:tcW w:w="2127" w:type="dxa"/>
            <w:tcBorders>
              <w:top w:val="single" w:sz="6" w:space="0" w:color="auto"/>
              <w:bottom w:val="single" w:sz="12" w:space="0" w:color="auto"/>
            </w:tcBorders>
            <w:shd w:val="clear" w:color="auto" w:fill="auto"/>
            <w:hideMark/>
          </w:tcPr>
          <w:p w:rsidR="005452CC" w:rsidRPr="00416235" w:rsidRDefault="005452CC" w:rsidP="00AE5F74">
            <w:pPr>
              <w:pStyle w:val="TableHeading"/>
            </w:pPr>
            <w:r w:rsidRPr="00416235">
              <w:t>Provisions</w:t>
            </w:r>
          </w:p>
        </w:tc>
        <w:tc>
          <w:tcPr>
            <w:tcW w:w="4394" w:type="dxa"/>
            <w:tcBorders>
              <w:top w:val="single" w:sz="6" w:space="0" w:color="auto"/>
              <w:bottom w:val="single" w:sz="12" w:space="0" w:color="auto"/>
            </w:tcBorders>
            <w:shd w:val="clear" w:color="auto" w:fill="auto"/>
            <w:hideMark/>
          </w:tcPr>
          <w:p w:rsidR="005452CC" w:rsidRPr="00416235" w:rsidRDefault="005452CC" w:rsidP="00AE5F74">
            <w:pPr>
              <w:pStyle w:val="TableHeading"/>
            </w:pPr>
            <w:r w:rsidRPr="00416235">
              <w:t>Commencement</w:t>
            </w:r>
          </w:p>
        </w:tc>
        <w:tc>
          <w:tcPr>
            <w:tcW w:w="1843" w:type="dxa"/>
            <w:tcBorders>
              <w:top w:val="single" w:sz="6" w:space="0" w:color="auto"/>
              <w:bottom w:val="single" w:sz="12" w:space="0" w:color="auto"/>
            </w:tcBorders>
            <w:shd w:val="clear" w:color="auto" w:fill="auto"/>
            <w:hideMark/>
          </w:tcPr>
          <w:p w:rsidR="005452CC" w:rsidRPr="00416235" w:rsidRDefault="005452CC" w:rsidP="00AE5F74">
            <w:pPr>
              <w:pStyle w:val="TableHeading"/>
            </w:pPr>
            <w:r w:rsidRPr="00416235">
              <w:t>Date/Details</w:t>
            </w:r>
          </w:p>
        </w:tc>
      </w:tr>
      <w:tr w:rsidR="005452CC" w:rsidTr="009533BA">
        <w:tc>
          <w:tcPr>
            <w:tcW w:w="2127" w:type="dxa"/>
            <w:tcBorders>
              <w:top w:val="single" w:sz="12" w:space="0" w:color="auto"/>
            </w:tcBorders>
            <w:shd w:val="clear" w:color="auto" w:fill="auto"/>
            <w:hideMark/>
          </w:tcPr>
          <w:p w:rsidR="005452CC" w:rsidRDefault="005452CC" w:rsidP="00AD7252">
            <w:pPr>
              <w:pStyle w:val="Tabletext"/>
            </w:pPr>
            <w:r>
              <w:t xml:space="preserve">1.  </w:t>
            </w:r>
            <w:r w:rsidR="009533BA" w:rsidRPr="009533BA">
              <w:t>Sections 1 to 4 and anything in this instrument not elsewhere covered by this table</w:t>
            </w:r>
          </w:p>
        </w:tc>
        <w:tc>
          <w:tcPr>
            <w:tcW w:w="4394" w:type="dxa"/>
            <w:tcBorders>
              <w:top w:val="single" w:sz="12" w:space="0" w:color="auto"/>
            </w:tcBorders>
            <w:shd w:val="clear" w:color="auto" w:fill="auto"/>
            <w:hideMark/>
          </w:tcPr>
          <w:p w:rsidR="005452CC" w:rsidRDefault="005452CC" w:rsidP="005452CC">
            <w:pPr>
              <w:pStyle w:val="Tabletext"/>
            </w:pPr>
            <w:r>
              <w:t xml:space="preserve">The day after </w:t>
            </w:r>
            <w:r w:rsidR="00187BB7">
              <w:t>this instrument is</w:t>
            </w:r>
            <w:r>
              <w:t xml:space="preserve"> registered.</w:t>
            </w:r>
          </w:p>
        </w:tc>
        <w:tc>
          <w:tcPr>
            <w:tcW w:w="1843" w:type="dxa"/>
            <w:tcBorders>
              <w:top w:val="single" w:sz="12" w:space="0" w:color="auto"/>
            </w:tcBorders>
            <w:shd w:val="clear" w:color="auto" w:fill="auto"/>
          </w:tcPr>
          <w:p w:rsidR="005452CC" w:rsidRDefault="00543079">
            <w:pPr>
              <w:pStyle w:val="Tabletext"/>
            </w:pPr>
            <w:r>
              <w:t>19 September 2020</w:t>
            </w:r>
          </w:p>
        </w:tc>
      </w:tr>
      <w:tr w:rsidR="009533BA" w:rsidTr="009533BA">
        <w:tc>
          <w:tcPr>
            <w:tcW w:w="2127" w:type="dxa"/>
            <w:tcBorders>
              <w:bottom w:val="single" w:sz="2" w:space="0" w:color="auto"/>
            </w:tcBorders>
            <w:shd w:val="clear" w:color="auto" w:fill="auto"/>
          </w:tcPr>
          <w:p w:rsidR="009533BA" w:rsidRDefault="009533BA" w:rsidP="00AD7252">
            <w:pPr>
              <w:pStyle w:val="Tabletext"/>
            </w:pPr>
            <w:r>
              <w:t>2.  Schedule 1</w:t>
            </w:r>
          </w:p>
        </w:tc>
        <w:tc>
          <w:tcPr>
            <w:tcW w:w="4394" w:type="dxa"/>
            <w:tcBorders>
              <w:bottom w:val="single" w:sz="2" w:space="0" w:color="auto"/>
            </w:tcBorders>
            <w:shd w:val="clear" w:color="auto" w:fill="auto"/>
          </w:tcPr>
          <w:p w:rsidR="009533BA" w:rsidRDefault="00F0003F" w:rsidP="00F8030F">
            <w:pPr>
              <w:pStyle w:val="Tabletext"/>
            </w:pPr>
            <w:r>
              <w:t>At the same time as</w:t>
            </w:r>
            <w:r w:rsidR="009533BA" w:rsidRPr="009533BA">
              <w:t xml:space="preserve"> Part 1 of Schedule 1 to the </w:t>
            </w:r>
            <w:r w:rsidR="009533BA" w:rsidRPr="00EF4EED">
              <w:rPr>
                <w:i/>
              </w:rPr>
              <w:t>Offshore Petroleum and Greenhouse Gas Storage</w:t>
            </w:r>
            <w:r w:rsidR="009533BA">
              <w:rPr>
                <w:i/>
              </w:rPr>
              <w:t xml:space="preserve"> Amendment (Cross</w:t>
            </w:r>
            <w:r w:rsidR="00E87941">
              <w:rPr>
                <w:i/>
              </w:rPr>
              <w:noBreakHyphen/>
            </w:r>
            <w:r w:rsidR="009533BA">
              <w:rPr>
                <w:i/>
              </w:rPr>
              <w:t xml:space="preserve">boundary Greenhouse Gas Titles and Other Measures) Act </w:t>
            </w:r>
            <w:bookmarkStart w:id="4" w:name="BK_S3P1L22C19"/>
            <w:bookmarkEnd w:id="4"/>
            <w:r w:rsidR="00F8030F">
              <w:rPr>
                <w:i/>
              </w:rPr>
              <w:t>2020</w:t>
            </w:r>
            <w:r>
              <w:t xml:space="preserve"> commences</w:t>
            </w:r>
            <w:r w:rsidR="009533BA" w:rsidRPr="009533BA">
              <w:t>.</w:t>
            </w:r>
          </w:p>
        </w:tc>
        <w:tc>
          <w:tcPr>
            <w:tcW w:w="1843" w:type="dxa"/>
            <w:tcBorders>
              <w:bottom w:val="single" w:sz="2" w:space="0" w:color="auto"/>
            </w:tcBorders>
            <w:shd w:val="clear" w:color="auto" w:fill="auto"/>
          </w:tcPr>
          <w:p w:rsidR="009533BA" w:rsidRDefault="00503E17">
            <w:pPr>
              <w:pStyle w:val="Tabletext"/>
            </w:pPr>
            <w:r>
              <w:t>1 October 2020</w:t>
            </w:r>
          </w:p>
        </w:tc>
      </w:tr>
      <w:tr w:rsidR="009533BA" w:rsidTr="009533BA">
        <w:tc>
          <w:tcPr>
            <w:tcW w:w="2127" w:type="dxa"/>
            <w:tcBorders>
              <w:top w:val="single" w:sz="2" w:space="0" w:color="auto"/>
              <w:bottom w:val="single" w:sz="12" w:space="0" w:color="auto"/>
            </w:tcBorders>
            <w:shd w:val="clear" w:color="auto" w:fill="auto"/>
          </w:tcPr>
          <w:p w:rsidR="009533BA" w:rsidRDefault="009533BA" w:rsidP="00AD7252">
            <w:pPr>
              <w:pStyle w:val="Tabletext"/>
            </w:pPr>
            <w:r>
              <w:t>3.  Schedule 2</w:t>
            </w:r>
          </w:p>
        </w:tc>
        <w:tc>
          <w:tcPr>
            <w:tcW w:w="4394" w:type="dxa"/>
            <w:tcBorders>
              <w:top w:val="single" w:sz="2" w:space="0" w:color="auto"/>
              <w:bottom w:val="single" w:sz="12" w:space="0" w:color="auto"/>
            </w:tcBorders>
            <w:shd w:val="clear" w:color="auto" w:fill="auto"/>
          </w:tcPr>
          <w:p w:rsidR="009533BA" w:rsidRDefault="00F0003F" w:rsidP="00F8030F">
            <w:pPr>
              <w:pStyle w:val="Tabletext"/>
            </w:pPr>
            <w:r>
              <w:t>At the same time as</w:t>
            </w:r>
            <w:r w:rsidR="009533BA" w:rsidRPr="009533BA">
              <w:t xml:space="preserve"> Part </w:t>
            </w:r>
            <w:r w:rsidR="009533BA">
              <w:t>2</w:t>
            </w:r>
            <w:r w:rsidR="009533BA" w:rsidRPr="009533BA">
              <w:t xml:space="preserve"> of Schedule </w:t>
            </w:r>
            <w:r w:rsidR="009533BA">
              <w:t>4</w:t>
            </w:r>
            <w:r w:rsidR="009533BA" w:rsidRPr="009533BA">
              <w:t xml:space="preserve"> to the </w:t>
            </w:r>
            <w:r w:rsidR="009533BA" w:rsidRPr="00EF4EED">
              <w:rPr>
                <w:i/>
              </w:rPr>
              <w:t>Offshore Petroleum and Greenhouse Gas</w:t>
            </w:r>
            <w:bookmarkStart w:id="5" w:name="_GoBack"/>
            <w:bookmarkEnd w:id="5"/>
            <w:r w:rsidR="009533BA" w:rsidRPr="00EF4EED">
              <w:rPr>
                <w:i/>
              </w:rPr>
              <w:t xml:space="preserve"> Storage</w:t>
            </w:r>
            <w:r w:rsidR="009533BA">
              <w:rPr>
                <w:i/>
              </w:rPr>
              <w:t xml:space="preserve"> Amendment (Cross</w:t>
            </w:r>
            <w:r w:rsidR="00E87941">
              <w:rPr>
                <w:i/>
              </w:rPr>
              <w:noBreakHyphen/>
            </w:r>
            <w:r w:rsidR="009533BA">
              <w:rPr>
                <w:i/>
              </w:rPr>
              <w:t xml:space="preserve">boundary Greenhouse Gas Titles and Other Measures) Act </w:t>
            </w:r>
            <w:r w:rsidR="00F8030F">
              <w:rPr>
                <w:i/>
              </w:rPr>
              <w:t>2020</w:t>
            </w:r>
            <w:r>
              <w:t xml:space="preserve"> commences</w:t>
            </w:r>
            <w:r w:rsidR="009533BA" w:rsidRPr="009533BA">
              <w:t>.</w:t>
            </w:r>
          </w:p>
        </w:tc>
        <w:tc>
          <w:tcPr>
            <w:tcW w:w="1843" w:type="dxa"/>
            <w:tcBorders>
              <w:top w:val="single" w:sz="2" w:space="0" w:color="auto"/>
              <w:bottom w:val="single" w:sz="12" w:space="0" w:color="auto"/>
            </w:tcBorders>
            <w:shd w:val="clear" w:color="auto" w:fill="auto"/>
          </w:tcPr>
          <w:p w:rsidR="009533BA" w:rsidRDefault="00503E17">
            <w:pPr>
              <w:pStyle w:val="Tabletext"/>
            </w:pPr>
            <w:r>
              <w:t>1 October 2020</w:t>
            </w:r>
          </w:p>
        </w:tc>
      </w:tr>
    </w:tbl>
    <w:p w:rsidR="005452CC" w:rsidRPr="001E6DD6" w:rsidRDefault="005452CC" w:rsidP="00AE5F74">
      <w:pPr>
        <w:pStyle w:val="notetext"/>
      </w:pPr>
      <w:r w:rsidRPr="005F477A">
        <w:rPr>
          <w:snapToGrid w:val="0"/>
          <w:lang w:eastAsia="en-US"/>
        </w:rPr>
        <w:t>Note:</w:t>
      </w:r>
      <w:r w:rsidRPr="005F477A">
        <w:rPr>
          <w:snapToGrid w:val="0"/>
          <w:lang w:eastAsia="en-US"/>
        </w:rPr>
        <w:tab/>
        <w:t xml:space="preserve">This table relates only to the provisions of </w:t>
      </w:r>
      <w:r w:rsidR="00187BB7">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187BB7">
        <w:rPr>
          <w:snapToGrid w:val="0"/>
          <w:lang w:eastAsia="en-US"/>
        </w:rPr>
        <w:t>this instrument</w:t>
      </w:r>
      <w:r w:rsidRPr="005F477A">
        <w:rPr>
          <w:snapToGrid w:val="0"/>
          <w:lang w:eastAsia="en-US"/>
        </w:rPr>
        <w:t>.</w:t>
      </w:r>
    </w:p>
    <w:p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187BB7">
        <w:t>this instrument</w:t>
      </w:r>
      <w:r w:rsidRPr="005F477A">
        <w:t xml:space="preserve">. Information may be inserted in this column, or information in it may be edited, in any published version of </w:t>
      </w:r>
      <w:r w:rsidR="00187BB7">
        <w:t>this instrument</w:t>
      </w:r>
      <w:r w:rsidRPr="005F477A">
        <w:t>.</w:t>
      </w:r>
    </w:p>
    <w:p w:rsidR="00BF6650" w:rsidRDefault="00BF6650" w:rsidP="00BF6650">
      <w:pPr>
        <w:pStyle w:val="ActHead5"/>
      </w:pPr>
      <w:bookmarkStart w:id="6" w:name="_Toc44409088"/>
      <w:r w:rsidRPr="00E47068">
        <w:rPr>
          <w:rStyle w:val="CharSectno"/>
        </w:rPr>
        <w:t>3</w:t>
      </w:r>
      <w:r>
        <w:t xml:space="preserve">  Authority</w:t>
      </w:r>
      <w:bookmarkEnd w:id="6"/>
    </w:p>
    <w:p w:rsidR="00EF4EED" w:rsidRPr="00EF4EED" w:rsidRDefault="00BF6650" w:rsidP="00E66277">
      <w:pPr>
        <w:pStyle w:val="subsection"/>
      </w:pPr>
      <w:r>
        <w:tab/>
      </w:r>
      <w:r>
        <w:tab/>
      </w:r>
      <w:r w:rsidR="00187BB7">
        <w:t>This instrument is</w:t>
      </w:r>
      <w:r>
        <w:t xml:space="preserve"> made under the </w:t>
      </w:r>
      <w:r w:rsidR="00E66277" w:rsidRPr="00EF4EED">
        <w:rPr>
          <w:i/>
        </w:rPr>
        <w:t>Offshore Petroleum and Greenhouse Gas Storage Act 2006</w:t>
      </w:r>
      <w:r w:rsidR="00E66277">
        <w:t>.</w:t>
      </w:r>
    </w:p>
    <w:p w:rsidR="00557C7A" w:rsidRDefault="00BF6650" w:rsidP="00557C7A">
      <w:pPr>
        <w:pStyle w:val="ActHead5"/>
      </w:pPr>
      <w:bookmarkStart w:id="7" w:name="_Toc44409089"/>
      <w:r w:rsidRPr="00E47068">
        <w:rPr>
          <w:rStyle w:val="CharSectno"/>
        </w:rPr>
        <w:t>4</w:t>
      </w:r>
      <w:r w:rsidR="00557C7A">
        <w:t xml:space="preserve">  </w:t>
      </w:r>
      <w:r w:rsidR="00083F48">
        <w:t>Schedules</w:t>
      </w:r>
      <w:bookmarkEnd w:id="7"/>
    </w:p>
    <w:p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187BB7">
        <w:t>this instrument</w:t>
      </w:r>
      <w:r w:rsidR="00083F48">
        <w:t xml:space="preserve"> is amended or repealed as set out in the applicable items </w:t>
      </w:r>
      <w:r w:rsidR="00083F48" w:rsidRPr="00083F48">
        <w:t xml:space="preserve">in the Schedule concerned, and any other item in a Schedule to </w:t>
      </w:r>
      <w:r w:rsidR="00187BB7">
        <w:t>this instrument</w:t>
      </w:r>
      <w:r w:rsidR="00083F48" w:rsidRPr="00083F48">
        <w:t xml:space="preserve"> has effect according to its terms.</w:t>
      </w:r>
    </w:p>
    <w:p w:rsidR="0048364F" w:rsidRDefault="0048364F" w:rsidP="009C5989">
      <w:pPr>
        <w:pStyle w:val="ActHead6"/>
        <w:pageBreakBefore/>
      </w:pPr>
      <w:bookmarkStart w:id="8" w:name="_Toc44409090"/>
      <w:bookmarkStart w:id="9" w:name="opcAmSched"/>
      <w:r w:rsidRPr="00E47068">
        <w:rPr>
          <w:rStyle w:val="CharAmSchNo"/>
        </w:rPr>
        <w:lastRenderedPageBreak/>
        <w:t>Schedule 1</w:t>
      </w:r>
      <w:r>
        <w:t>—</w:t>
      </w:r>
      <w:r w:rsidR="0056116D" w:rsidRPr="00E47068">
        <w:rPr>
          <w:rStyle w:val="CharAmSchText"/>
        </w:rPr>
        <w:t>Main a</w:t>
      </w:r>
      <w:r w:rsidR="00460499" w:rsidRPr="00E47068">
        <w:rPr>
          <w:rStyle w:val="CharAmSchText"/>
        </w:rPr>
        <w:t>mendments</w:t>
      </w:r>
      <w:bookmarkEnd w:id="8"/>
    </w:p>
    <w:bookmarkEnd w:id="9"/>
    <w:p w:rsidR="0004044E" w:rsidRPr="00E47068" w:rsidRDefault="0004044E" w:rsidP="0004044E">
      <w:pPr>
        <w:pStyle w:val="Header"/>
      </w:pPr>
      <w:r w:rsidRPr="00E47068">
        <w:rPr>
          <w:rStyle w:val="CharAmPartNo"/>
        </w:rPr>
        <w:t xml:space="preserve"> </w:t>
      </w:r>
      <w:r w:rsidRPr="00E47068">
        <w:rPr>
          <w:rStyle w:val="CharAmPartText"/>
        </w:rPr>
        <w:t xml:space="preserve"> </w:t>
      </w:r>
    </w:p>
    <w:p w:rsidR="0084172C" w:rsidRDefault="00EF4EED" w:rsidP="00EF4EED">
      <w:pPr>
        <w:pStyle w:val="ActHead9"/>
      </w:pPr>
      <w:bookmarkStart w:id="10" w:name="_Toc44409091"/>
      <w:r w:rsidRPr="00A31496">
        <w:t>Offshore Petroleum and Greenhouse Gas Storage (</w:t>
      </w:r>
      <w:r>
        <w:t>Greenhouse Gas Injection and Storage</w:t>
      </w:r>
      <w:r w:rsidRPr="00A31496">
        <w:t xml:space="preserve">) </w:t>
      </w:r>
      <w:r>
        <w:t>Regulations 2011</w:t>
      </w:r>
      <w:bookmarkStart w:id="11" w:name="BK_S3P3L22C40"/>
      <w:bookmarkEnd w:id="11"/>
      <w:bookmarkEnd w:id="10"/>
    </w:p>
    <w:p w:rsidR="006D2EA1" w:rsidRDefault="00BA1939" w:rsidP="006D2EA1">
      <w:pPr>
        <w:pStyle w:val="ItemHead"/>
      </w:pPr>
      <w:r>
        <w:t>1</w:t>
      </w:r>
      <w:r w:rsidR="006D2EA1">
        <w:t xml:space="preserve">  Paragraph 1.4(1)(a)</w:t>
      </w:r>
    </w:p>
    <w:p w:rsidR="006D2EA1" w:rsidRPr="00CC7B18" w:rsidRDefault="006D2EA1" w:rsidP="006D2EA1">
      <w:pPr>
        <w:pStyle w:val="Item"/>
      </w:pPr>
      <w:r>
        <w:t>Omit “28</w:t>
      </w:r>
      <w:r w:rsidRPr="00247E55">
        <w:t> </w:t>
      </w:r>
      <w:r>
        <w:t>(1)”, substitute “27A(1), 28(1), 28A(1)”.</w:t>
      </w:r>
    </w:p>
    <w:p w:rsidR="006D2EA1" w:rsidRDefault="00BA1939" w:rsidP="006D2EA1">
      <w:pPr>
        <w:pStyle w:val="ItemHead"/>
      </w:pPr>
      <w:r>
        <w:t>2</w:t>
      </w:r>
      <w:r w:rsidR="006D2EA1">
        <w:t xml:space="preserve">  </w:t>
      </w:r>
      <w:proofErr w:type="spellStart"/>
      <w:r w:rsidR="006D2EA1">
        <w:t>Subregulation</w:t>
      </w:r>
      <w:proofErr w:type="spellEnd"/>
      <w:r w:rsidR="006D2EA1">
        <w:t xml:space="preserve"> 1.4(1) (note)</w:t>
      </w:r>
    </w:p>
    <w:p w:rsidR="006D2EA1" w:rsidRDefault="006D2EA1" w:rsidP="006D2EA1">
      <w:pPr>
        <w:pStyle w:val="Item"/>
      </w:pPr>
      <w:r>
        <w:t>Omit “28</w:t>
      </w:r>
      <w:r w:rsidRPr="00247E55">
        <w:t> </w:t>
      </w:r>
      <w:r>
        <w:t>(1)”, substitute “27A(1), 28(1), 28A(1)”.</w:t>
      </w:r>
    </w:p>
    <w:p w:rsidR="006D2EA1" w:rsidRDefault="00BA1939" w:rsidP="006D2EA1">
      <w:pPr>
        <w:pStyle w:val="ItemHead"/>
      </w:pPr>
      <w:r>
        <w:t>3</w:t>
      </w:r>
      <w:r w:rsidR="006D2EA1">
        <w:t xml:space="preserve">  </w:t>
      </w:r>
      <w:proofErr w:type="spellStart"/>
      <w:r w:rsidR="006D2EA1">
        <w:t>Subregulation</w:t>
      </w:r>
      <w:proofErr w:type="spellEnd"/>
      <w:r w:rsidR="006D2EA1">
        <w:t xml:space="preserve"> 1.4(5)</w:t>
      </w:r>
    </w:p>
    <w:p w:rsidR="006D2EA1" w:rsidRPr="00CA626F" w:rsidRDefault="006D2EA1" w:rsidP="006D2EA1">
      <w:pPr>
        <w:pStyle w:val="Item"/>
      </w:pPr>
      <w:r>
        <w:t>Omit “28</w:t>
      </w:r>
      <w:r w:rsidRPr="00247E55">
        <w:t> </w:t>
      </w:r>
      <w:r>
        <w:t>(1)”, substitute “27A(1), 28(1), 28A(1)”.</w:t>
      </w:r>
    </w:p>
    <w:p w:rsidR="006D2EA1" w:rsidRDefault="00BA1939" w:rsidP="006D2EA1">
      <w:pPr>
        <w:pStyle w:val="ItemHead"/>
      </w:pPr>
      <w:r>
        <w:t>4</w:t>
      </w:r>
      <w:r w:rsidR="006D2EA1">
        <w:t xml:space="preserve">  After </w:t>
      </w:r>
      <w:proofErr w:type="spellStart"/>
      <w:r w:rsidR="006D2EA1">
        <w:t>subregulation</w:t>
      </w:r>
      <w:proofErr w:type="spellEnd"/>
      <w:r w:rsidR="006D2EA1">
        <w:t xml:space="preserve"> 1.4(5)</w:t>
      </w:r>
    </w:p>
    <w:p w:rsidR="006D2EA1" w:rsidRDefault="006D2EA1" w:rsidP="006D2EA1">
      <w:pPr>
        <w:pStyle w:val="Item"/>
      </w:pPr>
      <w:r>
        <w:t>Insert:</w:t>
      </w:r>
    </w:p>
    <w:p w:rsidR="006D2EA1" w:rsidRPr="001124A2" w:rsidRDefault="006D2EA1" w:rsidP="006D2EA1">
      <w:pPr>
        <w:pStyle w:val="SubsectionHead"/>
      </w:pPr>
      <w:r w:rsidRPr="001124A2">
        <w:t>Specific information—</w:t>
      </w:r>
      <w:r>
        <w:t xml:space="preserve">State/Territory </w:t>
      </w:r>
      <w:r w:rsidRPr="001124A2">
        <w:t xml:space="preserve">petroleum production </w:t>
      </w:r>
      <w:r>
        <w:t>title</w:t>
      </w:r>
    </w:p>
    <w:p w:rsidR="006D2EA1" w:rsidRPr="001124A2" w:rsidRDefault="006D2EA1" w:rsidP="006D2EA1">
      <w:pPr>
        <w:pStyle w:val="subsection"/>
      </w:pPr>
      <w:r w:rsidRPr="001124A2">
        <w:tab/>
        <w:t>(5</w:t>
      </w:r>
      <w:r>
        <w:t>A</w:t>
      </w:r>
      <w:r w:rsidRPr="001124A2">
        <w:t>)</w:t>
      </w:r>
      <w:r w:rsidRPr="001124A2">
        <w:tab/>
        <w:t xml:space="preserve">For </w:t>
      </w:r>
      <w:r>
        <w:t xml:space="preserve">the purposes of </w:t>
      </w:r>
      <w:r w:rsidRPr="001124A2">
        <w:t>subsection 27</w:t>
      </w:r>
      <w:r>
        <w:t>A</w:t>
      </w:r>
      <w:r w:rsidRPr="001124A2">
        <w:t>(1)</w:t>
      </w:r>
      <w:r>
        <w:t xml:space="preserve"> </w:t>
      </w:r>
      <w:r w:rsidRPr="00E66277">
        <w:t>or</w:t>
      </w:r>
      <w:r w:rsidRPr="001124A2">
        <w:t xml:space="preserve"> 2</w:t>
      </w:r>
      <w:r>
        <w:t>8A</w:t>
      </w:r>
      <w:r w:rsidRPr="001124A2">
        <w:t xml:space="preserve">(1) of the Act, if the title area in which the main operation would be carried on overlaps, in whole or in part, with an area in which an operation is being, or could be, carried on under a </w:t>
      </w:r>
      <w:r>
        <w:t xml:space="preserve">State/Territory </w:t>
      </w:r>
      <w:r w:rsidRPr="001124A2">
        <w:t xml:space="preserve">petroleum production </w:t>
      </w:r>
      <w:r>
        <w:t>title</w:t>
      </w:r>
      <w:r w:rsidRPr="001124A2">
        <w:t>:</w:t>
      </w:r>
    </w:p>
    <w:p w:rsidR="006D2EA1" w:rsidRPr="001124A2" w:rsidRDefault="006D2EA1" w:rsidP="006D2EA1">
      <w:pPr>
        <w:pStyle w:val="paragraph"/>
      </w:pPr>
      <w:r w:rsidRPr="001124A2">
        <w:tab/>
        <w:t>(a)</w:t>
      </w:r>
      <w:r w:rsidRPr="001124A2">
        <w:tab/>
        <w:t xml:space="preserve">the responsible Commonwealth Minister may request the </w:t>
      </w:r>
      <w:r>
        <w:t xml:space="preserve">holder of the State/Territory </w:t>
      </w:r>
      <w:r w:rsidRPr="001124A2">
        <w:t xml:space="preserve">petroleum production </w:t>
      </w:r>
      <w:r>
        <w:t>title</w:t>
      </w:r>
      <w:r w:rsidRPr="001124A2">
        <w:t xml:space="preserve"> to give the responsible Commonwealth Minister information in relation to whether there is any potential significant risk that the main operation will have a significant adverse impact on the operation under the </w:t>
      </w:r>
      <w:r>
        <w:t xml:space="preserve">State/Territory </w:t>
      </w:r>
      <w:r w:rsidRPr="001124A2">
        <w:t xml:space="preserve">petroleum production </w:t>
      </w:r>
      <w:r>
        <w:t>title</w:t>
      </w:r>
      <w:r w:rsidRPr="001124A2">
        <w:t>; and</w:t>
      </w:r>
    </w:p>
    <w:p w:rsidR="006D2EA1" w:rsidRDefault="006D2EA1" w:rsidP="006D2EA1">
      <w:pPr>
        <w:pStyle w:val="paragraph"/>
      </w:pPr>
      <w:r w:rsidRPr="001124A2">
        <w:tab/>
        <w:t>(b)</w:t>
      </w:r>
      <w:r w:rsidRPr="001124A2">
        <w:tab/>
        <w:t xml:space="preserve">the responsible Commonwealth Minister must take any information given by the </w:t>
      </w:r>
      <w:r>
        <w:t xml:space="preserve">holder of the State/Territory </w:t>
      </w:r>
      <w:r w:rsidRPr="001124A2">
        <w:t xml:space="preserve">petroleum production </w:t>
      </w:r>
      <w:r>
        <w:t>title</w:t>
      </w:r>
      <w:r w:rsidRPr="001124A2">
        <w:t xml:space="preserve"> into account when determining the risk question.</w:t>
      </w:r>
    </w:p>
    <w:p w:rsidR="006D2EA1" w:rsidRDefault="00BA1939" w:rsidP="006D2EA1">
      <w:pPr>
        <w:pStyle w:val="ItemHead"/>
      </w:pPr>
      <w:r>
        <w:t>5</w:t>
      </w:r>
      <w:r w:rsidR="006D2EA1">
        <w:t xml:space="preserve">  Paragraph 1.5(1)(a)</w:t>
      </w:r>
    </w:p>
    <w:p w:rsidR="006D2EA1" w:rsidRPr="00CC7B18" w:rsidRDefault="006D2EA1" w:rsidP="006D2EA1">
      <w:pPr>
        <w:pStyle w:val="Item"/>
      </w:pPr>
      <w:r>
        <w:t>Omit “28</w:t>
      </w:r>
      <w:r w:rsidRPr="00247E55">
        <w:t> </w:t>
      </w:r>
      <w:r>
        <w:t>(1)”, substitute “27A(1), 28(1), 28A(1)”.</w:t>
      </w:r>
    </w:p>
    <w:p w:rsidR="006D2EA1" w:rsidRDefault="00BA1939" w:rsidP="006D2EA1">
      <w:pPr>
        <w:pStyle w:val="ItemHead"/>
      </w:pPr>
      <w:r>
        <w:t>6</w:t>
      </w:r>
      <w:r w:rsidR="006D2EA1">
        <w:t xml:space="preserve">  </w:t>
      </w:r>
      <w:proofErr w:type="spellStart"/>
      <w:r w:rsidR="006D2EA1">
        <w:t>Subregulation</w:t>
      </w:r>
      <w:proofErr w:type="spellEnd"/>
      <w:r w:rsidR="006D2EA1">
        <w:t xml:space="preserve"> 1.5(1) (note)</w:t>
      </w:r>
    </w:p>
    <w:p w:rsidR="006D2EA1" w:rsidRDefault="006D2EA1" w:rsidP="006D2EA1">
      <w:pPr>
        <w:pStyle w:val="Item"/>
      </w:pPr>
      <w:r>
        <w:t>Omit “28</w:t>
      </w:r>
      <w:r w:rsidRPr="00247E55">
        <w:t> </w:t>
      </w:r>
      <w:r>
        <w:t>(1)”, substitute “27A(1), 28(1), 28A(1)”.</w:t>
      </w:r>
    </w:p>
    <w:p w:rsidR="006D2EA1" w:rsidRDefault="00BA1939" w:rsidP="006D2EA1">
      <w:pPr>
        <w:pStyle w:val="ItemHead"/>
      </w:pPr>
      <w:r>
        <w:t>7</w:t>
      </w:r>
      <w:r w:rsidR="006D2EA1">
        <w:t xml:space="preserve">  </w:t>
      </w:r>
      <w:proofErr w:type="spellStart"/>
      <w:r w:rsidR="006D2EA1">
        <w:t>Subregulation</w:t>
      </w:r>
      <w:proofErr w:type="spellEnd"/>
      <w:r w:rsidR="006D2EA1">
        <w:t xml:space="preserve"> 1.5(7) (table item 6)</w:t>
      </w:r>
    </w:p>
    <w:p w:rsidR="006D2EA1" w:rsidRPr="00130058" w:rsidRDefault="006D2EA1" w:rsidP="006D2EA1">
      <w:pPr>
        <w:pStyle w:val="Item"/>
      </w:pPr>
      <w:r>
        <w:t>Omit “28”, substitute “27A, 28, 28A”.</w:t>
      </w:r>
    </w:p>
    <w:p w:rsidR="006D2EA1" w:rsidRDefault="00BA1939" w:rsidP="006D2EA1">
      <w:pPr>
        <w:pStyle w:val="ItemHead"/>
      </w:pPr>
      <w:r>
        <w:t>8</w:t>
      </w:r>
      <w:r w:rsidR="006D2EA1">
        <w:t xml:space="preserve">  </w:t>
      </w:r>
      <w:proofErr w:type="spellStart"/>
      <w:r w:rsidR="006D2EA1">
        <w:t>Subregulation</w:t>
      </w:r>
      <w:proofErr w:type="spellEnd"/>
      <w:r w:rsidR="006D2EA1">
        <w:t xml:space="preserve"> 1.5(7) (table item 7)</w:t>
      </w:r>
    </w:p>
    <w:p w:rsidR="006D2EA1" w:rsidRPr="00130058" w:rsidRDefault="006D2EA1" w:rsidP="006D2EA1">
      <w:pPr>
        <w:pStyle w:val="Item"/>
      </w:pPr>
      <w:r>
        <w:t>Omit “28</w:t>
      </w:r>
      <w:r w:rsidRPr="00247E55">
        <w:t> </w:t>
      </w:r>
      <w:r>
        <w:t>(5)”, substitute “27A(5), 28(5), 28A(5)”.</w:t>
      </w:r>
    </w:p>
    <w:p w:rsidR="006D2EA1" w:rsidRDefault="00BA1939" w:rsidP="006D2EA1">
      <w:pPr>
        <w:pStyle w:val="ItemHead"/>
      </w:pPr>
      <w:r>
        <w:t>9</w:t>
      </w:r>
      <w:r w:rsidR="006D2EA1">
        <w:t xml:space="preserve">  Paragraph 1.6(1)(a)</w:t>
      </w:r>
    </w:p>
    <w:p w:rsidR="006D2EA1" w:rsidRPr="003B3EB9" w:rsidRDefault="006D2EA1" w:rsidP="006D2EA1">
      <w:pPr>
        <w:pStyle w:val="Item"/>
      </w:pPr>
      <w:r>
        <w:t>Omit “28</w:t>
      </w:r>
      <w:r w:rsidRPr="00247E55">
        <w:t> </w:t>
      </w:r>
      <w:r>
        <w:t>(6)”, substitute “27A(6), 28(6), 28A(6)”.</w:t>
      </w:r>
    </w:p>
    <w:p w:rsidR="006D2EA1" w:rsidRDefault="00BA1939" w:rsidP="006D2EA1">
      <w:pPr>
        <w:pStyle w:val="ItemHead"/>
      </w:pPr>
      <w:r>
        <w:t>10</w:t>
      </w:r>
      <w:r w:rsidR="006D2EA1">
        <w:t xml:space="preserve">  </w:t>
      </w:r>
      <w:proofErr w:type="spellStart"/>
      <w:r w:rsidR="006D2EA1">
        <w:t>Subregulation</w:t>
      </w:r>
      <w:proofErr w:type="spellEnd"/>
      <w:r w:rsidR="006D2EA1">
        <w:t xml:space="preserve"> 1.7(1)</w:t>
      </w:r>
    </w:p>
    <w:p w:rsidR="006D2EA1" w:rsidRDefault="006D2EA1" w:rsidP="006D2EA1">
      <w:pPr>
        <w:pStyle w:val="Item"/>
      </w:pPr>
      <w:r>
        <w:t>Omit “28</w:t>
      </w:r>
      <w:r w:rsidRPr="00247E55">
        <w:t> </w:t>
      </w:r>
      <w:r>
        <w:t>(1)”, substitute “27A(1), 28(1), 28A(1)”.</w:t>
      </w:r>
    </w:p>
    <w:p w:rsidR="006D2EA1" w:rsidRDefault="00BA1939" w:rsidP="006D2EA1">
      <w:pPr>
        <w:pStyle w:val="ItemHead"/>
      </w:pPr>
      <w:r>
        <w:t>11</w:t>
      </w:r>
      <w:r w:rsidR="006D2EA1">
        <w:t xml:space="preserve">  </w:t>
      </w:r>
      <w:proofErr w:type="spellStart"/>
      <w:r w:rsidR="006D2EA1">
        <w:t>Subregulation</w:t>
      </w:r>
      <w:proofErr w:type="spellEnd"/>
      <w:r w:rsidR="006D2EA1">
        <w:t xml:space="preserve"> 1.7(2) (note)</w:t>
      </w:r>
    </w:p>
    <w:p w:rsidR="006D2EA1" w:rsidRDefault="006D2EA1" w:rsidP="006D2EA1">
      <w:pPr>
        <w:pStyle w:val="Item"/>
      </w:pPr>
      <w:r>
        <w:t>Omit “28</w:t>
      </w:r>
      <w:r w:rsidRPr="00247E55">
        <w:t> </w:t>
      </w:r>
      <w:r>
        <w:t>(1)”, substitute “27A(1), 28(1), 28A(1)”.</w:t>
      </w:r>
    </w:p>
    <w:p w:rsidR="006D2EA1" w:rsidRDefault="00BA1939" w:rsidP="006D2EA1">
      <w:pPr>
        <w:pStyle w:val="ItemHead"/>
      </w:pPr>
      <w:r>
        <w:t>12</w:t>
      </w:r>
      <w:r w:rsidR="006D2EA1">
        <w:t xml:space="preserve">  </w:t>
      </w:r>
      <w:proofErr w:type="spellStart"/>
      <w:r w:rsidR="006D2EA1">
        <w:t>Subregulation</w:t>
      </w:r>
      <w:proofErr w:type="spellEnd"/>
      <w:r w:rsidR="006D2EA1">
        <w:t xml:space="preserve"> 1.7(3) (note)</w:t>
      </w:r>
    </w:p>
    <w:p w:rsidR="006D2EA1" w:rsidRDefault="006D2EA1" w:rsidP="006D2EA1">
      <w:pPr>
        <w:pStyle w:val="Item"/>
      </w:pPr>
      <w:r>
        <w:t>Repeal the note, substitute:</w:t>
      </w:r>
    </w:p>
    <w:p w:rsidR="006D2EA1" w:rsidRDefault="006D2EA1" w:rsidP="006D2EA1">
      <w:pPr>
        <w:pStyle w:val="notetext"/>
      </w:pPr>
      <w:r>
        <w:t>Note:</w:t>
      </w:r>
      <w:r>
        <w:tab/>
        <w:t>The titleholder will be:</w:t>
      </w:r>
    </w:p>
    <w:p w:rsidR="006D2EA1" w:rsidRDefault="006D2EA1" w:rsidP="006D2EA1">
      <w:pPr>
        <w:pStyle w:val="notepara"/>
      </w:pPr>
      <w:r>
        <w:t>(a)</w:t>
      </w:r>
      <w:r>
        <w:tab/>
        <w:t xml:space="preserve">the holder of a greenhouse gas assessment permit, greenhouse gas holding lease or </w:t>
      </w:r>
      <w:r w:rsidRPr="00CA626F">
        <w:t>greenhouse gas injection licence (see section 25 or 26 of the Act); or</w:t>
      </w:r>
    </w:p>
    <w:p w:rsidR="006D2EA1" w:rsidRDefault="006D2EA1" w:rsidP="006D2EA1">
      <w:pPr>
        <w:pStyle w:val="notepara"/>
      </w:pPr>
      <w:r>
        <w:t>(b)</w:t>
      </w:r>
      <w:r>
        <w:tab/>
      </w:r>
      <w:r w:rsidRPr="00CA626F">
        <w:t>the holder of a petroleum exploration permit, petroleum retention lease or petroleum production licence (see section 27, 28 or 29 of the Act)</w:t>
      </w:r>
      <w:r>
        <w:t>; or</w:t>
      </w:r>
    </w:p>
    <w:p w:rsidR="006D2EA1" w:rsidRDefault="006D2EA1" w:rsidP="006D2EA1">
      <w:pPr>
        <w:pStyle w:val="notepara"/>
      </w:pPr>
      <w:r>
        <w:t>(c)</w:t>
      </w:r>
      <w:r>
        <w:tab/>
      </w:r>
      <w:r w:rsidRPr="005515C9">
        <w:rPr>
          <w:lang w:eastAsia="en-US"/>
        </w:rPr>
        <w:t>the holder of a petroleum exploration permit, petroleum retention lease,</w:t>
      </w:r>
      <w:r w:rsidRPr="001124A2">
        <w:t xml:space="preserve"> </w:t>
      </w:r>
      <w:r>
        <w:t>p</w:t>
      </w:r>
      <w:r w:rsidRPr="001124A2">
        <w:t>etroleum production licence</w:t>
      </w:r>
      <w:r>
        <w:t>, State/Territory petroleum exploration title, State/Territory petroleum retention title or State/Territory petroleum production title</w:t>
      </w:r>
      <w:r w:rsidRPr="001124A2">
        <w:t xml:space="preserve"> (see section 27</w:t>
      </w:r>
      <w:r>
        <w:t xml:space="preserve">A or </w:t>
      </w:r>
      <w:r w:rsidRPr="001124A2">
        <w:t>28</w:t>
      </w:r>
      <w:r>
        <w:t>A</w:t>
      </w:r>
      <w:r w:rsidRPr="001124A2">
        <w:t xml:space="preserve"> of the Act).</w:t>
      </w:r>
    </w:p>
    <w:p w:rsidR="006D2EA1" w:rsidRDefault="00BA1939" w:rsidP="006D2EA1">
      <w:pPr>
        <w:pStyle w:val="ItemHead"/>
      </w:pPr>
      <w:r>
        <w:t>13</w:t>
      </w:r>
      <w:r w:rsidR="006D2EA1">
        <w:t xml:space="preserve">  </w:t>
      </w:r>
      <w:proofErr w:type="spellStart"/>
      <w:r w:rsidR="006D2EA1">
        <w:t>Subregulation</w:t>
      </w:r>
      <w:proofErr w:type="spellEnd"/>
      <w:r w:rsidR="006D2EA1">
        <w:t xml:space="preserve"> 1.8(1)</w:t>
      </w:r>
    </w:p>
    <w:p w:rsidR="006D2EA1" w:rsidRDefault="006D2EA1" w:rsidP="006D2EA1">
      <w:pPr>
        <w:pStyle w:val="Item"/>
      </w:pPr>
      <w:r>
        <w:t>Omit “28</w:t>
      </w:r>
      <w:r w:rsidRPr="00247E55">
        <w:t> </w:t>
      </w:r>
      <w:r>
        <w:t>(1)”, substitute “27A(1), 28(1), 28A(1)”.</w:t>
      </w:r>
    </w:p>
    <w:p w:rsidR="006D2EA1" w:rsidRDefault="00BA1939" w:rsidP="006D2EA1">
      <w:pPr>
        <w:pStyle w:val="ItemHead"/>
      </w:pPr>
      <w:r>
        <w:t>14</w:t>
      </w:r>
      <w:r w:rsidR="006D2EA1">
        <w:t xml:space="preserve">  </w:t>
      </w:r>
      <w:proofErr w:type="spellStart"/>
      <w:r w:rsidR="006D2EA1">
        <w:t>Subregulation</w:t>
      </w:r>
      <w:proofErr w:type="spellEnd"/>
      <w:r w:rsidR="006D2EA1">
        <w:t xml:space="preserve"> 1.8(2) (note)</w:t>
      </w:r>
    </w:p>
    <w:p w:rsidR="006D2EA1" w:rsidRDefault="006D2EA1" w:rsidP="006D2EA1">
      <w:pPr>
        <w:pStyle w:val="Item"/>
      </w:pPr>
      <w:r>
        <w:t>Omit “28</w:t>
      </w:r>
      <w:r w:rsidRPr="00247E55">
        <w:t> </w:t>
      </w:r>
      <w:r>
        <w:t>(1)”, substitute “27A(1), 28(1), 28A(1)”.</w:t>
      </w:r>
    </w:p>
    <w:p w:rsidR="006D2EA1" w:rsidRDefault="00BA1939" w:rsidP="006D2EA1">
      <w:pPr>
        <w:pStyle w:val="ItemHead"/>
      </w:pPr>
      <w:r>
        <w:t>15</w:t>
      </w:r>
      <w:r w:rsidR="006D2EA1">
        <w:t xml:space="preserve">  </w:t>
      </w:r>
      <w:proofErr w:type="spellStart"/>
      <w:r w:rsidR="006D2EA1">
        <w:t>Subregulation</w:t>
      </w:r>
      <w:proofErr w:type="spellEnd"/>
      <w:r w:rsidR="006D2EA1">
        <w:t xml:space="preserve"> 1.8(3) (note)</w:t>
      </w:r>
    </w:p>
    <w:p w:rsidR="006D2EA1" w:rsidRDefault="006D2EA1" w:rsidP="006D2EA1">
      <w:pPr>
        <w:pStyle w:val="Item"/>
      </w:pPr>
      <w:r>
        <w:t>Repeal the note, substitute:</w:t>
      </w:r>
    </w:p>
    <w:p w:rsidR="006D2EA1" w:rsidRDefault="006D2EA1" w:rsidP="006D2EA1">
      <w:pPr>
        <w:pStyle w:val="notetext"/>
      </w:pPr>
      <w:r>
        <w:t>Note:</w:t>
      </w:r>
      <w:r>
        <w:tab/>
        <w:t>The titleholder will be:</w:t>
      </w:r>
    </w:p>
    <w:p w:rsidR="006D2EA1" w:rsidRDefault="006D2EA1" w:rsidP="006D2EA1">
      <w:pPr>
        <w:pStyle w:val="notepara"/>
      </w:pPr>
      <w:r>
        <w:t>(a)</w:t>
      </w:r>
      <w:r>
        <w:tab/>
        <w:t xml:space="preserve">the holder of a greenhouse gas assessment permit, greenhouse gas holding lease or </w:t>
      </w:r>
      <w:r w:rsidRPr="00CA626F">
        <w:t>greenhouse gas injection licence (see section 25 or 26 of the Act); or</w:t>
      </w:r>
    </w:p>
    <w:p w:rsidR="006D2EA1" w:rsidRDefault="006D2EA1" w:rsidP="006D2EA1">
      <w:pPr>
        <w:pStyle w:val="notepara"/>
      </w:pPr>
      <w:r>
        <w:t>(b)</w:t>
      </w:r>
      <w:r>
        <w:tab/>
      </w:r>
      <w:r w:rsidRPr="00CA626F">
        <w:t>the holder of a petroleum exploration permit, petroleum retention lease or petroleum production licence (see section 27, 28 or 29 of the Act)</w:t>
      </w:r>
      <w:r>
        <w:t>; or</w:t>
      </w:r>
    </w:p>
    <w:p w:rsidR="006D2EA1" w:rsidRDefault="006D2EA1" w:rsidP="006D2EA1">
      <w:pPr>
        <w:pStyle w:val="notepara"/>
      </w:pPr>
      <w:r>
        <w:t>(c)</w:t>
      </w:r>
      <w:r>
        <w:tab/>
      </w:r>
      <w:r w:rsidRPr="005515C9">
        <w:rPr>
          <w:lang w:eastAsia="en-US"/>
        </w:rPr>
        <w:t>the holder of a petroleum exploration permit, petroleum retention lease,</w:t>
      </w:r>
      <w:r w:rsidRPr="001124A2">
        <w:t xml:space="preserve"> </w:t>
      </w:r>
      <w:r>
        <w:t>p</w:t>
      </w:r>
      <w:r w:rsidRPr="001124A2">
        <w:t>etroleum production licence</w:t>
      </w:r>
      <w:r>
        <w:t>, State/Territory petroleum exploration title, State/Territory petroleum retention title or State/Territory petroleum production title</w:t>
      </w:r>
      <w:r w:rsidRPr="001124A2">
        <w:t xml:space="preserve"> (see section 27</w:t>
      </w:r>
      <w:r>
        <w:t xml:space="preserve">A or </w:t>
      </w:r>
      <w:r w:rsidRPr="001124A2">
        <w:t>28</w:t>
      </w:r>
      <w:r>
        <w:t>A</w:t>
      </w:r>
      <w:r w:rsidRPr="001124A2">
        <w:t xml:space="preserve"> of the Act).</w:t>
      </w:r>
    </w:p>
    <w:p w:rsidR="006D2EA1" w:rsidRDefault="00BA1939" w:rsidP="006D2EA1">
      <w:pPr>
        <w:pStyle w:val="ItemHead"/>
      </w:pPr>
      <w:r>
        <w:t>16</w:t>
      </w:r>
      <w:r w:rsidR="006D2EA1">
        <w:t xml:space="preserve">  Regulation 2.1</w:t>
      </w:r>
    </w:p>
    <w:p w:rsidR="006D2EA1" w:rsidRPr="00DD32AC" w:rsidRDefault="006D2EA1" w:rsidP="006D2EA1">
      <w:pPr>
        <w:pStyle w:val="Item"/>
      </w:pPr>
      <w:r>
        <w:t>Omit “</w:t>
      </w:r>
      <w:r w:rsidRPr="001124A2">
        <w:t>paragraph 312</w:t>
      </w:r>
      <w:bookmarkStart w:id="12" w:name="BK_S3P3L32C20"/>
      <w:bookmarkEnd w:id="12"/>
      <w:r w:rsidRPr="00247E55">
        <w:t> </w:t>
      </w:r>
      <w:r w:rsidRPr="001124A2">
        <w:t>(3)</w:t>
      </w:r>
      <w:r w:rsidRPr="00247E55">
        <w:t> </w:t>
      </w:r>
      <w:r w:rsidRPr="001124A2">
        <w:t>(c)</w:t>
      </w:r>
      <w:r>
        <w:t xml:space="preserve">”, substitute “the purposes of paragraphs </w:t>
      </w:r>
      <w:r w:rsidRPr="001124A2">
        <w:t>312(3)(c)</w:t>
      </w:r>
      <w:r>
        <w:t xml:space="preserve"> and </w:t>
      </w:r>
      <w:r w:rsidRPr="001124A2">
        <w:t>312</w:t>
      </w:r>
      <w:r>
        <w:t>A</w:t>
      </w:r>
      <w:r w:rsidRPr="001124A2">
        <w:t>(3)(c)</w:t>
      </w:r>
      <w:r>
        <w:t>”.</w:t>
      </w:r>
    </w:p>
    <w:p w:rsidR="006D2EA1" w:rsidRDefault="00BA1939" w:rsidP="006D2EA1">
      <w:pPr>
        <w:pStyle w:val="ItemHead"/>
      </w:pPr>
      <w:r>
        <w:t>17</w:t>
      </w:r>
      <w:r w:rsidR="006D2EA1">
        <w:t xml:space="preserve">  </w:t>
      </w:r>
      <w:proofErr w:type="spellStart"/>
      <w:r w:rsidR="006D2EA1">
        <w:t>Subregulation</w:t>
      </w:r>
      <w:proofErr w:type="spellEnd"/>
      <w:r w:rsidR="006D2EA1">
        <w:t xml:space="preserve"> 2.2(1)</w:t>
      </w:r>
    </w:p>
    <w:p w:rsidR="006D2EA1" w:rsidRPr="00DD32AC" w:rsidRDefault="006D2EA1" w:rsidP="006D2EA1">
      <w:pPr>
        <w:pStyle w:val="Item"/>
      </w:pPr>
      <w:r>
        <w:t>After “</w:t>
      </w:r>
      <w:r w:rsidRPr="001124A2">
        <w:t>section 312</w:t>
      </w:r>
      <w:r>
        <w:t>”, insert “or 312A”.</w:t>
      </w:r>
    </w:p>
    <w:p w:rsidR="006D2EA1" w:rsidRDefault="00BA1939" w:rsidP="006D2EA1">
      <w:pPr>
        <w:pStyle w:val="ItemHead"/>
      </w:pPr>
      <w:r>
        <w:t>18</w:t>
      </w:r>
      <w:r w:rsidR="006D2EA1">
        <w:t xml:space="preserve">  </w:t>
      </w:r>
      <w:proofErr w:type="spellStart"/>
      <w:r w:rsidR="006D2EA1">
        <w:t>Subregulation</w:t>
      </w:r>
      <w:proofErr w:type="spellEnd"/>
      <w:r w:rsidR="006D2EA1">
        <w:t xml:space="preserve"> 3.5(3)</w:t>
      </w:r>
    </w:p>
    <w:p w:rsidR="006D2EA1" w:rsidRPr="00DD32AC" w:rsidRDefault="006D2EA1" w:rsidP="006D2EA1">
      <w:pPr>
        <w:pStyle w:val="Item"/>
      </w:pPr>
      <w:r>
        <w:t>After “</w:t>
      </w:r>
      <w:r w:rsidRPr="001124A2">
        <w:t>section 312</w:t>
      </w:r>
      <w:r>
        <w:t>”, insert “or 312A”.</w:t>
      </w:r>
    </w:p>
    <w:p w:rsidR="006D2EA1" w:rsidRDefault="00BA1939" w:rsidP="006D2EA1">
      <w:pPr>
        <w:pStyle w:val="ItemHead"/>
      </w:pPr>
      <w:r>
        <w:t>19</w:t>
      </w:r>
      <w:r w:rsidR="006D2EA1">
        <w:t xml:space="preserve">  Paragraph 3.9(1)(a)</w:t>
      </w:r>
    </w:p>
    <w:p w:rsidR="006D2EA1" w:rsidRDefault="006D2EA1" w:rsidP="006D2EA1">
      <w:pPr>
        <w:pStyle w:val="Item"/>
      </w:pPr>
      <w:r>
        <w:t>Repeal the paragraph, substitute:</w:t>
      </w:r>
    </w:p>
    <w:p w:rsidR="006D2EA1" w:rsidRPr="00F2296E" w:rsidRDefault="006D2EA1" w:rsidP="006D2EA1">
      <w:pPr>
        <w:pStyle w:val="paragraph"/>
      </w:pPr>
      <w:r>
        <w:tab/>
        <w:t>(a)</w:t>
      </w:r>
      <w:r>
        <w:tab/>
        <w:t>a declaration under section 312 or 312A of the Act has been revoked under section 314 of the Act;</w:t>
      </w:r>
    </w:p>
    <w:p w:rsidR="006D2EA1" w:rsidRDefault="00BA1939" w:rsidP="006D2EA1">
      <w:pPr>
        <w:pStyle w:val="ItemHead"/>
      </w:pPr>
      <w:r>
        <w:t>20</w:t>
      </w:r>
      <w:r w:rsidR="006D2EA1">
        <w:t xml:space="preserve">  Paragraph 3.10(3)(b)</w:t>
      </w:r>
    </w:p>
    <w:p w:rsidR="006D2EA1" w:rsidRDefault="006D2EA1" w:rsidP="006D2EA1">
      <w:pPr>
        <w:pStyle w:val="Item"/>
      </w:pPr>
      <w:r>
        <w:t>After “section 374”, insert “or 374A”.</w:t>
      </w:r>
    </w:p>
    <w:p w:rsidR="006D2EA1" w:rsidRDefault="00BA1939" w:rsidP="006D2EA1">
      <w:pPr>
        <w:pStyle w:val="ItemHead"/>
      </w:pPr>
      <w:r>
        <w:t>21</w:t>
      </w:r>
      <w:r w:rsidR="006D2EA1">
        <w:t xml:space="preserve">  Regulation 4.2 (heading)</w:t>
      </w:r>
    </w:p>
    <w:p w:rsidR="006D2EA1" w:rsidRDefault="006D2EA1" w:rsidP="006D2EA1">
      <w:pPr>
        <w:pStyle w:val="Item"/>
      </w:pPr>
      <w:r>
        <w:t>Repeal the heading, substitute:</w:t>
      </w:r>
    </w:p>
    <w:p w:rsidR="006D2EA1" w:rsidRPr="001B344B" w:rsidRDefault="006D2EA1" w:rsidP="006D2EA1">
      <w:pPr>
        <w:pStyle w:val="ActHead5"/>
      </w:pPr>
      <w:bookmarkStart w:id="13" w:name="_Toc44409092"/>
      <w:r w:rsidRPr="00E47068">
        <w:rPr>
          <w:rStyle w:val="CharSectno"/>
        </w:rPr>
        <w:t>4.2</w:t>
      </w:r>
      <w:r>
        <w:t xml:space="preserve">  Notifying responsible Commonwealth Minister of reportable incidents</w:t>
      </w:r>
      <w:bookmarkEnd w:id="13"/>
    </w:p>
    <w:p w:rsidR="0075593B" w:rsidRDefault="00BA1939" w:rsidP="0075593B">
      <w:pPr>
        <w:pStyle w:val="ItemHead"/>
      </w:pPr>
      <w:r>
        <w:t>22</w:t>
      </w:r>
      <w:r w:rsidR="0075593B">
        <w:t xml:space="preserve">  </w:t>
      </w:r>
      <w:proofErr w:type="spellStart"/>
      <w:r w:rsidR="0075593B">
        <w:t>Subregulation</w:t>
      </w:r>
      <w:proofErr w:type="spellEnd"/>
      <w:r w:rsidR="0075593B">
        <w:t xml:space="preserve"> 4.2(2)</w:t>
      </w:r>
    </w:p>
    <w:p w:rsidR="0075593B" w:rsidRDefault="0075593B" w:rsidP="0075593B">
      <w:pPr>
        <w:pStyle w:val="Item"/>
      </w:pPr>
      <w:r>
        <w:t>Omit “operator”, substitute “titleholder”.</w:t>
      </w:r>
    </w:p>
    <w:p w:rsidR="006D2EA1" w:rsidRDefault="00BA1939" w:rsidP="006D2EA1">
      <w:pPr>
        <w:pStyle w:val="ItemHead"/>
      </w:pPr>
      <w:r>
        <w:t>23</w:t>
      </w:r>
      <w:r w:rsidR="006D2EA1">
        <w:t xml:space="preserve">  After regulation 4.2</w:t>
      </w:r>
    </w:p>
    <w:p w:rsidR="006D2EA1" w:rsidRDefault="006D2EA1" w:rsidP="006D2EA1">
      <w:pPr>
        <w:pStyle w:val="Item"/>
      </w:pPr>
      <w:r>
        <w:t>Insert:</w:t>
      </w:r>
    </w:p>
    <w:p w:rsidR="006D2EA1" w:rsidRDefault="006D2EA1" w:rsidP="006D2EA1">
      <w:pPr>
        <w:pStyle w:val="ActHead5"/>
      </w:pPr>
      <w:bookmarkStart w:id="14" w:name="_Toc44409093"/>
      <w:r w:rsidRPr="00E47068">
        <w:rPr>
          <w:rStyle w:val="CharSectno"/>
        </w:rPr>
        <w:t>4.2A</w:t>
      </w:r>
      <w:r>
        <w:t xml:space="preserve">  Notifying States and Northern Territory of reportable incidents</w:t>
      </w:r>
      <w:bookmarkEnd w:id="14"/>
    </w:p>
    <w:p w:rsidR="006D2EA1" w:rsidRPr="00B93369" w:rsidRDefault="006D2EA1" w:rsidP="006D2EA1">
      <w:pPr>
        <w:pStyle w:val="SubsectionHead"/>
      </w:pPr>
      <w:r>
        <w:t>Requirements if reportable incident notified orally</w:t>
      </w:r>
    </w:p>
    <w:p w:rsidR="006D2EA1" w:rsidRDefault="006D2EA1" w:rsidP="006D2EA1">
      <w:pPr>
        <w:pStyle w:val="subsection"/>
      </w:pPr>
      <w:r>
        <w:tab/>
        <w:t>(1)</w:t>
      </w:r>
      <w:r>
        <w:tab/>
      </w:r>
      <w:proofErr w:type="spellStart"/>
      <w:r>
        <w:t>Subregulation</w:t>
      </w:r>
      <w:proofErr w:type="spellEnd"/>
      <w:r>
        <w:t xml:space="preserve"> (2) applies if a titleholder notifies the responsible Commonwealth Minister of a reportable incident under </w:t>
      </w:r>
      <w:proofErr w:type="spellStart"/>
      <w:r>
        <w:t>subregulation</w:t>
      </w:r>
      <w:proofErr w:type="spellEnd"/>
      <w:r>
        <w:t xml:space="preserve"> 4.2(1) orally.</w:t>
      </w:r>
    </w:p>
    <w:p w:rsidR="006D2EA1" w:rsidRDefault="006D2EA1" w:rsidP="006D2EA1">
      <w:pPr>
        <w:pStyle w:val="subsection"/>
      </w:pPr>
      <w:r>
        <w:tab/>
        <w:t>(2)</w:t>
      </w:r>
      <w:r>
        <w:tab/>
        <w:t xml:space="preserve">The titleholder commits an offence if the titleholder does not, within </w:t>
      </w:r>
      <w:r w:rsidR="0075593B">
        <w:t>3</w:t>
      </w:r>
      <w:r>
        <w:t xml:space="preserve"> days after notifying the responsible Commonwealth Minister:</w:t>
      </w:r>
    </w:p>
    <w:p w:rsidR="006D2EA1" w:rsidRDefault="006D2EA1" w:rsidP="006D2EA1">
      <w:pPr>
        <w:pStyle w:val="paragraph"/>
      </w:pPr>
      <w:r>
        <w:tab/>
        <w:t>(a)</w:t>
      </w:r>
      <w:r>
        <w:tab/>
        <w:t>if the reportable incident occurred in the offshore area of a State—give to the Department of the responsible State Minister a written record setting out the details that were given to the responsible Commonwealth Minister in the oral notification; or</w:t>
      </w:r>
    </w:p>
    <w:p w:rsidR="006D2EA1" w:rsidRDefault="006D2EA1" w:rsidP="006D2EA1">
      <w:pPr>
        <w:pStyle w:val="paragraph"/>
      </w:pPr>
      <w:r>
        <w:tab/>
        <w:t>(b)</w:t>
      </w:r>
      <w:r>
        <w:tab/>
        <w:t>if the reportable incident occurred in the Principal Northern Territory offshore area—give to the Department of the responsible Northern Territory Minister a written record setting out the details that were given to the responsible Commonwealth Minister in the oral notification.</w:t>
      </w:r>
    </w:p>
    <w:p w:rsidR="006D2EA1" w:rsidRDefault="006D2EA1" w:rsidP="006D2EA1">
      <w:pPr>
        <w:pStyle w:val="Penalty"/>
      </w:pPr>
      <w:r>
        <w:t>Penalty:</w:t>
      </w:r>
      <w:r>
        <w:tab/>
      </w:r>
      <w:r w:rsidR="001360A3">
        <w:t>4</w:t>
      </w:r>
      <w:r>
        <w:t>0 penalty units.</w:t>
      </w:r>
    </w:p>
    <w:p w:rsidR="006D2EA1" w:rsidRPr="00F54CFB" w:rsidRDefault="006D2EA1" w:rsidP="006D2EA1">
      <w:pPr>
        <w:pStyle w:val="SubsectionHead"/>
      </w:pPr>
      <w:r>
        <w:t>Requirements if reportable incident notified in writing</w:t>
      </w:r>
    </w:p>
    <w:p w:rsidR="006D2EA1" w:rsidRDefault="006D2EA1" w:rsidP="006D2EA1">
      <w:pPr>
        <w:pStyle w:val="subsection"/>
      </w:pPr>
      <w:r>
        <w:tab/>
        <w:t>(3)</w:t>
      </w:r>
      <w:r>
        <w:tab/>
      </w:r>
      <w:proofErr w:type="spellStart"/>
      <w:r>
        <w:t>Subregulation</w:t>
      </w:r>
      <w:proofErr w:type="spellEnd"/>
      <w:r>
        <w:t xml:space="preserve"> (4) applies if a titleholder notifies the responsible Commonwealth Minister of </w:t>
      </w:r>
      <w:r w:rsidR="0075593B">
        <w:t xml:space="preserve">a </w:t>
      </w:r>
      <w:r>
        <w:t xml:space="preserve">reportable incident under </w:t>
      </w:r>
      <w:proofErr w:type="spellStart"/>
      <w:r>
        <w:t>subregulation</w:t>
      </w:r>
      <w:proofErr w:type="spellEnd"/>
      <w:r>
        <w:t xml:space="preserve"> 4.2(1) in writing.</w:t>
      </w:r>
    </w:p>
    <w:p w:rsidR="006D2EA1" w:rsidRDefault="006D2EA1" w:rsidP="006D2EA1">
      <w:pPr>
        <w:pStyle w:val="subsection"/>
      </w:pPr>
      <w:r>
        <w:tab/>
        <w:t>(4)</w:t>
      </w:r>
      <w:r>
        <w:tab/>
        <w:t xml:space="preserve">The titleholder commits an offence if the titleholder does not, within </w:t>
      </w:r>
      <w:r w:rsidR="0075593B">
        <w:t>3</w:t>
      </w:r>
      <w:r>
        <w:t xml:space="preserve"> days after notifying the responsible Commonwealth Minister:</w:t>
      </w:r>
    </w:p>
    <w:p w:rsidR="006D2EA1" w:rsidRDefault="006D2EA1" w:rsidP="006D2EA1">
      <w:pPr>
        <w:pStyle w:val="paragraph"/>
      </w:pPr>
      <w:r>
        <w:tab/>
        <w:t>(a)</w:t>
      </w:r>
      <w:r>
        <w:tab/>
        <w:t>if the reportable incident occurred in the offshore area of a State—give to the Department of the responsible State Minister a copy of the written notification given to the responsible Commonwealth Minister; or</w:t>
      </w:r>
    </w:p>
    <w:p w:rsidR="006D2EA1" w:rsidRDefault="006D2EA1" w:rsidP="006D2EA1">
      <w:pPr>
        <w:pStyle w:val="paragraph"/>
      </w:pPr>
      <w:r>
        <w:tab/>
        <w:t>(b)</w:t>
      </w:r>
      <w:r>
        <w:tab/>
        <w:t>if the reportable incident occurred in the Principal Northern Territory offshore area—give to the Department of the responsible Northern Territory Minister a copy of the written notification given to the responsible Commonwealth Minister.</w:t>
      </w:r>
    </w:p>
    <w:p w:rsidR="006D2EA1" w:rsidRDefault="006D2EA1" w:rsidP="006D2EA1">
      <w:pPr>
        <w:pStyle w:val="Penalty"/>
      </w:pPr>
      <w:r>
        <w:t>Penalty:</w:t>
      </w:r>
      <w:r>
        <w:tab/>
      </w:r>
      <w:r w:rsidR="001360A3">
        <w:t>40</w:t>
      </w:r>
      <w:r>
        <w:t xml:space="preserve"> penalty units.</w:t>
      </w:r>
    </w:p>
    <w:p w:rsidR="006D2EA1" w:rsidRDefault="00BA1939" w:rsidP="006D2EA1">
      <w:pPr>
        <w:pStyle w:val="ItemHead"/>
      </w:pPr>
      <w:r>
        <w:t>24</w:t>
      </w:r>
      <w:r w:rsidR="006D2EA1">
        <w:t xml:space="preserve">  After </w:t>
      </w:r>
      <w:proofErr w:type="spellStart"/>
      <w:r w:rsidR="006D2EA1">
        <w:t>subregulation</w:t>
      </w:r>
      <w:proofErr w:type="spellEnd"/>
      <w:r w:rsidR="006D2EA1">
        <w:t xml:space="preserve"> 4.3(1)</w:t>
      </w:r>
    </w:p>
    <w:p w:rsidR="006D2EA1" w:rsidRDefault="00341C87" w:rsidP="006D2EA1">
      <w:pPr>
        <w:pStyle w:val="Item"/>
      </w:pPr>
      <w:r>
        <w:t>Insert</w:t>
      </w:r>
      <w:r w:rsidR="006D2EA1">
        <w:t>:</w:t>
      </w:r>
    </w:p>
    <w:p w:rsidR="00C2204E" w:rsidRDefault="006D2EA1" w:rsidP="00C2204E">
      <w:pPr>
        <w:pStyle w:val="subsection"/>
      </w:pPr>
      <w:r>
        <w:tab/>
      </w:r>
      <w:r w:rsidR="00C2204E">
        <w:t>(1A)</w:t>
      </w:r>
      <w:r w:rsidR="00C2204E">
        <w:tab/>
        <w:t xml:space="preserve">If a titleholder gives a report to the responsible Commonwealth Minister under </w:t>
      </w:r>
      <w:proofErr w:type="spellStart"/>
      <w:r w:rsidR="00C2204E">
        <w:t>subregulation</w:t>
      </w:r>
      <w:proofErr w:type="spellEnd"/>
      <w:r w:rsidR="00C2204E">
        <w:t xml:space="preserve"> (1), the titleholder commits an offence if the titleholder does not, within 7 days after giving the report to the responsible </w:t>
      </w:r>
      <w:r w:rsidR="0075593B">
        <w:t xml:space="preserve">Commonwealth </w:t>
      </w:r>
      <w:r w:rsidR="00C2204E">
        <w:t>Minister:</w:t>
      </w:r>
    </w:p>
    <w:p w:rsidR="00C2204E" w:rsidRDefault="00C2204E" w:rsidP="00C2204E">
      <w:pPr>
        <w:pStyle w:val="paragraph"/>
      </w:pPr>
      <w:r>
        <w:tab/>
        <w:t>(a)</w:t>
      </w:r>
      <w:r>
        <w:tab/>
        <w:t>if the reportable incident occurred in the offshore area of a State—give a copy of the report to the Department of the responsible State Minister; or</w:t>
      </w:r>
    </w:p>
    <w:p w:rsidR="00C2204E" w:rsidRDefault="00C2204E" w:rsidP="00C2204E">
      <w:pPr>
        <w:pStyle w:val="paragraph"/>
      </w:pPr>
      <w:r>
        <w:tab/>
        <w:t>(b)</w:t>
      </w:r>
      <w:r>
        <w:tab/>
        <w:t>if the reportable incident occurred in the Principal Northern Territory offshore area—give a copy of the report to the Department of the responsible</w:t>
      </w:r>
      <w:bookmarkStart w:id="15" w:name="BK_S3P6L31C12"/>
      <w:bookmarkEnd w:id="15"/>
      <w:r>
        <w:t xml:space="preserve"> Northern Territory Minister.</w:t>
      </w:r>
    </w:p>
    <w:p w:rsidR="00C2204E" w:rsidRPr="006D2EA1" w:rsidRDefault="00C2204E" w:rsidP="00C2204E">
      <w:pPr>
        <w:pStyle w:val="Penalty"/>
      </w:pPr>
      <w:r w:rsidRPr="00247E55">
        <w:t>Penalty:</w:t>
      </w:r>
      <w:r w:rsidRPr="00247E55">
        <w:tab/>
      </w:r>
      <w:r>
        <w:t>40</w:t>
      </w:r>
      <w:r w:rsidRPr="00247E55">
        <w:t xml:space="preserve"> penalty units.</w:t>
      </w:r>
    </w:p>
    <w:p w:rsidR="006D2EA1" w:rsidRDefault="00BA1939" w:rsidP="006D2EA1">
      <w:pPr>
        <w:pStyle w:val="ItemHead"/>
      </w:pPr>
      <w:r>
        <w:t>25</w:t>
      </w:r>
      <w:r w:rsidR="006D2EA1">
        <w:t xml:space="preserve">  </w:t>
      </w:r>
      <w:proofErr w:type="spellStart"/>
      <w:r w:rsidR="006D2EA1">
        <w:t>Subregulation</w:t>
      </w:r>
      <w:proofErr w:type="spellEnd"/>
      <w:r w:rsidR="006D2EA1">
        <w:t xml:space="preserve"> 4.3(2)</w:t>
      </w:r>
    </w:p>
    <w:p w:rsidR="006D2EA1" w:rsidRDefault="006D2EA1" w:rsidP="006D2EA1">
      <w:pPr>
        <w:pStyle w:val="Item"/>
      </w:pPr>
      <w:r>
        <w:t>Omit “operator”, substitute “titleholder”.</w:t>
      </w:r>
    </w:p>
    <w:p w:rsidR="00EF4EED" w:rsidRDefault="00EF4EED" w:rsidP="00EF4EED">
      <w:pPr>
        <w:pStyle w:val="ActHead9"/>
      </w:pPr>
      <w:bookmarkStart w:id="16" w:name="_Toc44409094"/>
      <w:r w:rsidRPr="00A31496">
        <w:t>Offshore Petroleum and Greenhouse Gas Storage (Resource Management and Administration) Regulations 2011</w:t>
      </w:r>
      <w:bookmarkEnd w:id="16"/>
    </w:p>
    <w:p w:rsidR="00EF4EED" w:rsidRDefault="00BA1939" w:rsidP="00EF4EED">
      <w:pPr>
        <w:pStyle w:val="ItemHead"/>
      </w:pPr>
      <w:r>
        <w:t>26</w:t>
      </w:r>
      <w:r w:rsidR="001D30CF">
        <w:t xml:space="preserve">  Paragraph 1.06(3)(h)</w:t>
      </w:r>
    </w:p>
    <w:p w:rsidR="001D30CF" w:rsidRPr="001D30CF" w:rsidRDefault="001D30CF" w:rsidP="001D30CF">
      <w:pPr>
        <w:pStyle w:val="Item"/>
      </w:pPr>
      <w:r>
        <w:t>Omit “or 303”, substitute “, 302A, 303 or 307A”.</w:t>
      </w:r>
    </w:p>
    <w:p w:rsidR="00EF4EED" w:rsidRDefault="00BA1939" w:rsidP="00EF4EED">
      <w:pPr>
        <w:pStyle w:val="ItemHead"/>
      </w:pPr>
      <w:r>
        <w:t>27</w:t>
      </w:r>
      <w:r w:rsidR="001D30CF">
        <w:t xml:space="preserve">  Paragraph 1.06(3)(</w:t>
      </w:r>
      <w:proofErr w:type="spellStart"/>
      <w:r w:rsidR="001D30CF">
        <w:t>i</w:t>
      </w:r>
      <w:proofErr w:type="spellEnd"/>
      <w:r w:rsidR="001D30CF">
        <w:t>)</w:t>
      </w:r>
    </w:p>
    <w:p w:rsidR="00EF4EED" w:rsidRDefault="001D30CF" w:rsidP="00EF4EED">
      <w:pPr>
        <w:pStyle w:val="Item"/>
      </w:pPr>
      <w:r>
        <w:t>After “308”, insert “or 311A”.</w:t>
      </w:r>
    </w:p>
    <w:p w:rsidR="00EF4EED" w:rsidRDefault="00BA1939" w:rsidP="00EF4EED">
      <w:pPr>
        <w:pStyle w:val="ItemHead"/>
      </w:pPr>
      <w:r>
        <w:t>28</w:t>
      </w:r>
      <w:r w:rsidR="001D30CF">
        <w:t xml:space="preserve">  Paragraph 1.06(3)(j)</w:t>
      </w:r>
    </w:p>
    <w:p w:rsidR="001D30CF" w:rsidRDefault="001D30CF" w:rsidP="001D30CF">
      <w:pPr>
        <w:pStyle w:val="Item"/>
      </w:pPr>
      <w:r>
        <w:t>Omit “330, 336”, substitute “329A, 330, 335A, 336, 342A”.</w:t>
      </w:r>
    </w:p>
    <w:p w:rsidR="000C5FC7" w:rsidRDefault="00BA1939" w:rsidP="000C5FC7">
      <w:pPr>
        <w:pStyle w:val="ItemHead"/>
      </w:pPr>
      <w:r>
        <w:t>29</w:t>
      </w:r>
      <w:r w:rsidR="001D30CF">
        <w:t xml:space="preserve">  Paragraph 1.06(3)(k)</w:t>
      </w:r>
    </w:p>
    <w:p w:rsidR="000C5FC7" w:rsidRDefault="001D30CF" w:rsidP="000C5FC7">
      <w:pPr>
        <w:pStyle w:val="Item"/>
      </w:pPr>
      <w:r>
        <w:t>After “347”, insert “or 350A”.</w:t>
      </w:r>
    </w:p>
    <w:p w:rsidR="000C5FC7" w:rsidRDefault="00BA1939" w:rsidP="000C5FC7">
      <w:pPr>
        <w:pStyle w:val="ItemHead"/>
      </w:pPr>
      <w:r>
        <w:t>30</w:t>
      </w:r>
      <w:r w:rsidR="001D30CF">
        <w:t xml:space="preserve">  Paragraph 1.0</w:t>
      </w:r>
      <w:r w:rsidR="000B34AB">
        <w:t>6</w:t>
      </w:r>
      <w:r w:rsidR="001D30CF">
        <w:t>(3)(l)</w:t>
      </w:r>
    </w:p>
    <w:p w:rsidR="000C5FC7" w:rsidRDefault="00341C87" w:rsidP="000C5FC7">
      <w:pPr>
        <w:pStyle w:val="Item"/>
      </w:pPr>
      <w:r>
        <w:t>After</w:t>
      </w:r>
      <w:r w:rsidR="001D30CF">
        <w:t xml:space="preserve"> “</w:t>
      </w:r>
      <w:r w:rsidR="001D30CF" w:rsidRPr="00A5447B">
        <w:t>361</w:t>
      </w:r>
      <w:r w:rsidR="001D30CF">
        <w:t xml:space="preserve">”, </w:t>
      </w:r>
      <w:r>
        <w:t>insert</w:t>
      </w:r>
      <w:r w:rsidR="001D30CF">
        <w:t xml:space="preserve"> “, 368A”.</w:t>
      </w:r>
    </w:p>
    <w:p w:rsidR="00CD2761" w:rsidRDefault="00BA1939" w:rsidP="000C5FC7">
      <w:pPr>
        <w:pStyle w:val="ItemHead"/>
      </w:pPr>
      <w:r>
        <w:t>31</w:t>
      </w:r>
      <w:r w:rsidR="00CD2761">
        <w:t xml:space="preserve">  At the end of Division 2 of Part 2</w:t>
      </w:r>
    </w:p>
    <w:p w:rsidR="00CD2761" w:rsidRDefault="00CD2761" w:rsidP="00CD2761">
      <w:pPr>
        <w:pStyle w:val="Item"/>
      </w:pPr>
      <w:r>
        <w:t>Add:</w:t>
      </w:r>
    </w:p>
    <w:p w:rsidR="00CD2761" w:rsidRDefault="00CD2761" w:rsidP="00CD2761">
      <w:pPr>
        <w:pStyle w:val="ActHead5"/>
      </w:pPr>
      <w:bookmarkStart w:id="17" w:name="_Toc44409095"/>
      <w:r w:rsidRPr="00E47068">
        <w:rPr>
          <w:rStyle w:val="CharSectno"/>
        </w:rPr>
        <w:t>2.07</w:t>
      </w:r>
      <w:r>
        <w:t xml:space="preserve">  Information may be provided to responsible State Minister and responsible Northern Territory Minister</w:t>
      </w:r>
      <w:bookmarkEnd w:id="17"/>
    </w:p>
    <w:p w:rsidR="00133F79" w:rsidRDefault="00CD2761" w:rsidP="00CD2761">
      <w:pPr>
        <w:pStyle w:val="subsection"/>
      </w:pPr>
      <w:r>
        <w:tab/>
        <w:t>(1)</w:t>
      </w:r>
      <w:r>
        <w:tab/>
        <w:t>This regulation applies if</w:t>
      </w:r>
      <w:r w:rsidR="00133F79">
        <w:t>:</w:t>
      </w:r>
    </w:p>
    <w:p w:rsidR="007B2119" w:rsidRDefault="00133F79" w:rsidP="00133F79">
      <w:pPr>
        <w:pStyle w:val="paragraph"/>
      </w:pPr>
      <w:r>
        <w:tab/>
        <w:t>(a)</w:t>
      </w:r>
      <w:r>
        <w:tab/>
        <w:t>petroleum is discovered in</w:t>
      </w:r>
      <w:r w:rsidR="007B2119">
        <w:t>:</w:t>
      </w:r>
    </w:p>
    <w:p w:rsidR="007B2119" w:rsidRDefault="00AF4A1F" w:rsidP="00AF4A1F">
      <w:pPr>
        <w:pStyle w:val="paragraphsub"/>
      </w:pPr>
      <w:r>
        <w:tab/>
        <w:t>(</w:t>
      </w:r>
      <w:proofErr w:type="spellStart"/>
      <w:r>
        <w:t>i</w:t>
      </w:r>
      <w:proofErr w:type="spellEnd"/>
      <w:r>
        <w:t>)</w:t>
      </w:r>
      <w:r>
        <w:tab/>
      </w:r>
      <w:r w:rsidR="007D359A">
        <w:t xml:space="preserve">part of the </w:t>
      </w:r>
      <w:r>
        <w:t>permit area of a cross</w:t>
      </w:r>
      <w:r w:rsidR="00E87941">
        <w:noBreakHyphen/>
      </w:r>
      <w:r>
        <w:t>boundary greenhouse gas assessment permit</w:t>
      </w:r>
      <w:r w:rsidR="005B2EA1">
        <w:t xml:space="preserve"> that is in the coastal waters of a State or the </w:t>
      </w:r>
      <w:r w:rsidR="006C6F9C">
        <w:t xml:space="preserve">coastal waters of the </w:t>
      </w:r>
      <w:r w:rsidR="005B2EA1">
        <w:t>Northern Territory</w:t>
      </w:r>
      <w:r>
        <w:t>; or</w:t>
      </w:r>
    </w:p>
    <w:p w:rsidR="00AF4A1F" w:rsidRDefault="00AF4A1F" w:rsidP="00AF4A1F">
      <w:pPr>
        <w:pStyle w:val="paragraphsub"/>
      </w:pPr>
      <w:r>
        <w:tab/>
        <w:t>(ii)</w:t>
      </w:r>
      <w:r>
        <w:tab/>
      </w:r>
      <w:r w:rsidR="007D359A">
        <w:t xml:space="preserve">part of </w:t>
      </w:r>
      <w:r>
        <w:t>the lease area of a cross</w:t>
      </w:r>
      <w:r w:rsidR="00E87941">
        <w:noBreakHyphen/>
      </w:r>
      <w:r>
        <w:t>boundary greenhouse gas holding lease</w:t>
      </w:r>
      <w:r w:rsidR="005B2EA1">
        <w:t xml:space="preserve"> that is in the coastal waters of a State or the </w:t>
      </w:r>
      <w:r w:rsidR="006C6F9C">
        <w:t xml:space="preserve">coastal waters of the </w:t>
      </w:r>
      <w:r w:rsidR="005B2EA1">
        <w:t>Northern Territory</w:t>
      </w:r>
      <w:r>
        <w:t>; or</w:t>
      </w:r>
    </w:p>
    <w:p w:rsidR="00AF4A1F" w:rsidRPr="00AF4A1F" w:rsidRDefault="00AF4A1F" w:rsidP="00AF4A1F">
      <w:pPr>
        <w:pStyle w:val="paragraphsub"/>
      </w:pPr>
      <w:r>
        <w:tab/>
        <w:t>(iii)</w:t>
      </w:r>
      <w:r>
        <w:tab/>
      </w:r>
      <w:r w:rsidR="007D359A">
        <w:t xml:space="preserve">part of </w:t>
      </w:r>
      <w:r>
        <w:t>the licence area of a cross</w:t>
      </w:r>
      <w:r w:rsidR="00E87941">
        <w:noBreakHyphen/>
      </w:r>
      <w:r>
        <w:t>boundary greenhouse gas injection licence</w:t>
      </w:r>
      <w:r w:rsidR="005B2EA1">
        <w:t xml:space="preserve"> that is in the coastal waters of a State or the </w:t>
      </w:r>
      <w:r w:rsidR="006C6F9C">
        <w:t xml:space="preserve">coastal waters of the </w:t>
      </w:r>
      <w:r w:rsidR="005B2EA1">
        <w:t>Northern Territory</w:t>
      </w:r>
      <w:r>
        <w:t>; and</w:t>
      </w:r>
    </w:p>
    <w:p w:rsidR="00133F79" w:rsidRPr="00133F79" w:rsidRDefault="00133F79" w:rsidP="00133F79">
      <w:pPr>
        <w:pStyle w:val="paragraph"/>
      </w:pPr>
      <w:r>
        <w:tab/>
        <w:t>(b)</w:t>
      </w:r>
      <w:r>
        <w:tab/>
        <w:t>a report of the discovery is provided to the responsible Commonwealth Minister under paragraph 2</w:t>
      </w:r>
      <w:bookmarkStart w:id="18" w:name="BK_S3P7L24C40"/>
      <w:bookmarkStart w:id="19" w:name="BK_S3P6L8C27"/>
      <w:bookmarkEnd w:id="18"/>
      <w:bookmarkEnd w:id="19"/>
      <w:r>
        <w:t>.06(1)(b)</w:t>
      </w:r>
      <w:r w:rsidR="00934DF5">
        <w:t>.</w:t>
      </w:r>
    </w:p>
    <w:p w:rsidR="00CD2761" w:rsidRDefault="00CD2761" w:rsidP="00CD2761">
      <w:pPr>
        <w:pStyle w:val="subsection"/>
      </w:pPr>
      <w:r>
        <w:tab/>
        <w:t>(2)</w:t>
      </w:r>
      <w:r>
        <w:tab/>
        <w:t xml:space="preserve">Despite </w:t>
      </w:r>
      <w:r w:rsidR="00FF0392">
        <w:t>Part</w:t>
      </w:r>
      <w:r w:rsidR="006D2EA1">
        <w:t>s</w:t>
      </w:r>
      <w:r w:rsidR="00FF0392">
        <w:t xml:space="preserve"> </w:t>
      </w:r>
      <w:r w:rsidR="006D2EA1">
        <w:t xml:space="preserve">8 and </w:t>
      </w:r>
      <w:r w:rsidR="00FF0392">
        <w:t>10</w:t>
      </w:r>
      <w:r>
        <w:t xml:space="preserve">, the responsible Commonwealth Minister may make information in the report available to </w:t>
      </w:r>
      <w:r w:rsidR="004D7149">
        <w:t xml:space="preserve">the </w:t>
      </w:r>
      <w:r>
        <w:t xml:space="preserve">responsible State Minister or </w:t>
      </w:r>
      <w:r w:rsidR="004D7149">
        <w:t xml:space="preserve">the </w:t>
      </w:r>
      <w:r>
        <w:t>responsible Northern Territory Minister, for the purpose of enabling or assisting the responsible</w:t>
      </w:r>
      <w:r w:rsidR="006D0D36">
        <w:t xml:space="preserve"> State</w:t>
      </w:r>
      <w:r>
        <w:t xml:space="preserve"> Minister </w:t>
      </w:r>
      <w:r w:rsidR="006D0D36">
        <w:t xml:space="preserve">or the </w:t>
      </w:r>
      <w:r w:rsidR="005B2EA1">
        <w:t xml:space="preserve">responsible </w:t>
      </w:r>
      <w:r w:rsidR="006D0D36">
        <w:t xml:space="preserve">Northern Territory Minister </w:t>
      </w:r>
      <w:r>
        <w:t>to perform functions</w:t>
      </w:r>
      <w:r w:rsidR="005B2EA1">
        <w:t>,</w:t>
      </w:r>
      <w:r>
        <w:t xml:space="preserve"> </w:t>
      </w:r>
      <w:r w:rsidR="006D0D36">
        <w:t xml:space="preserve">or exercise </w:t>
      </w:r>
      <w:r>
        <w:t>powers</w:t>
      </w:r>
      <w:r w:rsidR="005B2EA1">
        <w:t>,</w:t>
      </w:r>
      <w:r>
        <w:t xml:space="preserve"> under a State PSLA or a Territory PSLA.</w:t>
      </w:r>
    </w:p>
    <w:p w:rsidR="000C5FC7" w:rsidRDefault="00BA1939" w:rsidP="000C5FC7">
      <w:pPr>
        <w:pStyle w:val="ItemHead"/>
      </w:pPr>
      <w:r>
        <w:t>32</w:t>
      </w:r>
      <w:r w:rsidR="00D217C0">
        <w:t xml:space="preserve">  After regulation 11A.02</w:t>
      </w:r>
    </w:p>
    <w:p w:rsidR="00D217C0" w:rsidRDefault="00D217C0" w:rsidP="00D217C0">
      <w:pPr>
        <w:pStyle w:val="Item"/>
      </w:pPr>
      <w:r>
        <w:t>Insert:</w:t>
      </w:r>
    </w:p>
    <w:p w:rsidR="00D217C0" w:rsidRPr="006247FC" w:rsidRDefault="00D217C0" w:rsidP="00D217C0">
      <w:pPr>
        <w:pStyle w:val="ActHead5"/>
      </w:pPr>
      <w:bookmarkStart w:id="20" w:name="_Toc44409096"/>
      <w:r w:rsidRPr="00E47068">
        <w:rPr>
          <w:rStyle w:val="CharSectno"/>
        </w:rPr>
        <w:t>11A.02</w:t>
      </w:r>
      <w:r w:rsidR="005840D0" w:rsidRPr="00E47068">
        <w:rPr>
          <w:rStyle w:val="CharSectno"/>
        </w:rPr>
        <w:t>A</w:t>
      </w:r>
      <w:r w:rsidRPr="006247FC">
        <w:t xml:space="preserve">  Giving documents to </w:t>
      </w:r>
      <w:r>
        <w:t>Cross</w:t>
      </w:r>
      <w:r w:rsidR="00E87941">
        <w:noBreakHyphen/>
      </w:r>
      <w:r>
        <w:t>boundary Authority</w:t>
      </w:r>
      <w:bookmarkEnd w:id="20"/>
    </w:p>
    <w:p w:rsidR="00D217C0" w:rsidRPr="00A5447B" w:rsidRDefault="00D217C0" w:rsidP="00D217C0">
      <w:pPr>
        <w:pStyle w:val="subsection"/>
      </w:pPr>
      <w:r w:rsidRPr="00A5447B">
        <w:tab/>
      </w:r>
      <w:r w:rsidRPr="00A5447B">
        <w:tab/>
        <w:t xml:space="preserve">A document required or permitted by the Act, or any legislative instrument made under the Act, to be given to </w:t>
      </w:r>
      <w:r w:rsidR="0000122C">
        <w:t xml:space="preserve">a </w:t>
      </w:r>
      <w:r>
        <w:t>Cross</w:t>
      </w:r>
      <w:r w:rsidR="00E87941">
        <w:noBreakHyphen/>
      </w:r>
      <w:r>
        <w:t>boundary Authority</w:t>
      </w:r>
      <w:r w:rsidRPr="00A5447B">
        <w:t xml:space="preserve"> is taken to have been given to the </w:t>
      </w:r>
      <w:r>
        <w:t>Cross</w:t>
      </w:r>
      <w:r w:rsidR="00E87941">
        <w:noBreakHyphen/>
      </w:r>
      <w:r>
        <w:t>boundary Authority</w:t>
      </w:r>
      <w:r w:rsidRPr="00A5447B">
        <w:t xml:space="preserve"> if it is given to:</w:t>
      </w:r>
    </w:p>
    <w:p w:rsidR="00D217C0" w:rsidRPr="00A5447B" w:rsidRDefault="00D217C0" w:rsidP="00D217C0">
      <w:pPr>
        <w:pStyle w:val="paragraph"/>
      </w:pPr>
      <w:r w:rsidRPr="00A5447B">
        <w:tab/>
        <w:t>(a)</w:t>
      </w:r>
      <w:r w:rsidRPr="00A5447B">
        <w:tab/>
        <w:t>the Titles Administrator; or</w:t>
      </w:r>
    </w:p>
    <w:p w:rsidR="00D217C0" w:rsidRDefault="00D217C0" w:rsidP="00D217C0">
      <w:pPr>
        <w:pStyle w:val="paragraph"/>
      </w:pPr>
      <w:r w:rsidRPr="00A5447B">
        <w:tab/>
        <w:t>(b)</w:t>
      </w:r>
      <w:r w:rsidRPr="00A5447B">
        <w:tab/>
        <w:t>a delegate of the Titles Administrator.</w:t>
      </w:r>
    </w:p>
    <w:p w:rsidR="00B53F36" w:rsidRDefault="00BA1939" w:rsidP="00B53F36">
      <w:pPr>
        <w:pStyle w:val="ItemHead"/>
      </w:pPr>
      <w:r>
        <w:t>33</w:t>
      </w:r>
      <w:r w:rsidR="00B53F36">
        <w:t xml:space="preserve">  </w:t>
      </w:r>
      <w:r w:rsidR="00E66277">
        <w:t xml:space="preserve">Clause 3 of </w:t>
      </w:r>
      <w:r w:rsidR="00B53F36">
        <w:t xml:space="preserve">Schedule 6 (table item 121, column headed </w:t>
      </w:r>
      <w:bookmarkStart w:id="21" w:name="BK_S3P7L11C47"/>
      <w:bookmarkStart w:id="22" w:name="BK_S3P7L34C59"/>
      <w:bookmarkStart w:id="23" w:name="BK_S3P8L26C59"/>
      <w:bookmarkStart w:id="24" w:name="BK_S3P6L22C59"/>
      <w:bookmarkEnd w:id="21"/>
      <w:bookmarkEnd w:id="22"/>
      <w:bookmarkEnd w:id="23"/>
      <w:bookmarkEnd w:id="24"/>
      <w:r w:rsidR="00B53F36">
        <w:t>“</w:t>
      </w:r>
      <w:r w:rsidR="00B53F36" w:rsidRPr="00A5447B">
        <w:t>Type of application</w:t>
      </w:r>
      <w:bookmarkStart w:id="25" w:name="BK_S3P7L11C67"/>
      <w:bookmarkStart w:id="26" w:name="BK_S3P8L27C12"/>
      <w:bookmarkStart w:id="27" w:name="BK_S3P6L23C12"/>
      <w:bookmarkEnd w:id="25"/>
      <w:bookmarkEnd w:id="26"/>
      <w:bookmarkEnd w:id="27"/>
      <w:r w:rsidR="00B53F36" w:rsidRPr="00A5447B">
        <w:t>, request or nomination</w:t>
      </w:r>
      <w:bookmarkStart w:id="28" w:name="BK_S3P7L12C22"/>
      <w:bookmarkStart w:id="29" w:name="BK_S3P7L35C35"/>
      <w:bookmarkStart w:id="30" w:name="BK_S3P8L27C35"/>
      <w:bookmarkStart w:id="31" w:name="BK_S3P6L23C35"/>
      <w:bookmarkEnd w:id="28"/>
      <w:bookmarkEnd w:id="29"/>
      <w:bookmarkEnd w:id="30"/>
      <w:bookmarkEnd w:id="31"/>
      <w:r w:rsidR="00B53F36">
        <w:t>”)</w:t>
      </w:r>
    </w:p>
    <w:p w:rsidR="00B53F36" w:rsidRPr="00B53F36" w:rsidRDefault="00B53F36" w:rsidP="00B53F36">
      <w:pPr>
        <w:pStyle w:val="Item"/>
      </w:pPr>
      <w:r>
        <w:t>After “312”, insert “or 312A”.</w:t>
      </w:r>
    </w:p>
    <w:p w:rsidR="00D217C0" w:rsidRDefault="00BA1939" w:rsidP="00B53F36">
      <w:pPr>
        <w:pStyle w:val="ItemHead"/>
      </w:pPr>
      <w:r>
        <w:t>34</w:t>
      </w:r>
      <w:r w:rsidR="00CF6FE0">
        <w:t xml:space="preserve">  </w:t>
      </w:r>
      <w:r w:rsidR="00E66277">
        <w:t xml:space="preserve">Clause 3 of </w:t>
      </w:r>
      <w:r w:rsidR="00CF6FE0">
        <w:t>Schedule 6 (after table item 124)</w:t>
      </w:r>
    </w:p>
    <w:p w:rsidR="00CF6FE0" w:rsidRDefault="00CF6FE0" w:rsidP="00CF6FE0">
      <w:pPr>
        <w:pStyle w:val="Item"/>
      </w:pPr>
      <w:r>
        <w:t>Insert:</w:t>
      </w:r>
    </w:p>
    <w:p w:rsidR="00CF6FE0" w:rsidRDefault="00CF6FE0" w:rsidP="00CF6FE0">
      <w:pPr>
        <w:pStyle w:val="Tabletext"/>
      </w:pPr>
    </w:p>
    <w:tbl>
      <w:tblPr>
        <w:tblW w:w="5000" w:type="pct"/>
        <w:tblLook w:val="0000" w:firstRow="0" w:lastRow="0" w:firstColumn="0" w:lastColumn="0" w:noHBand="0" w:noVBand="0"/>
      </w:tblPr>
      <w:tblGrid>
        <w:gridCol w:w="664"/>
        <w:gridCol w:w="6816"/>
        <w:gridCol w:w="1049"/>
      </w:tblGrid>
      <w:tr w:rsidR="00CF6FE0" w:rsidRPr="00A5447B" w:rsidTr="00CF6FE0">
        <w:tc>
          <w:tcPr>
            <w:tcW w:w="389" w:type="pct"/>
            <w:shd w:val="clear" w:color="auto" w:fill="auto"/>
          </w:tcPr>
          <w:p w:rsidR="00CF6FE0" w:rsidRPr="00A5447B" w:rsidRDefault="00CF6FE0" w:rsidP="00AE5F74">
            <w:pPr>
              <w:pStyle w:val="Tabletext"/>
            </w:pPr>
            <w:r w:rsidRPr="00A5447B">
              <w:t>124</w:t>
            </w:r>
            <w:r>
              <w:t>A</w:t>
            </w:r>
          </w:p>
        </w:tc>
        <w:tc>
          <w:tcPr>
            <w:tcW w:w="3996" w:type="pct"/>
            <w:shd w:val="clear" w:color="auto" w:fill="auto"/>
          </w:tcPr>
          <w:p w:rsidR="00CF6FE0" w:rsidRPr="00A5447B" w:rsidRDefault="00CF6FE0" w:rsidP="00AE5F74">
            <w:pPr>
              <w:pStyle w:val="Tabletext"/>
            </w:pPr>
            <w:r w:rsidRPr="00A5447B">
              <w:t>Application for one or more of the following under item</w:t>
            </w:r>
            <w:r>
              <w:t> </w:t>
            </w:r>
            <w:r w:rsidRPr="00A5447B">
              <w:t>1 of the table in subsection</w:t>
            </w:r>
            <w:r>
              <w:t> </w:t>
            </w:r>
            <w:r w:rsidRPr="00A5447B">
              <w:t>43</w:t>
            </w:r>
            <w:r>
              <w:t>9A</w:t>
            </w:r>
            <w:r w:rsidRPr="00A5447B">
              <w:t xml:space="preserve">(1) of the Act in relation to </w:t>
            </w:r>
            <w:r w:rsidRPr="00555A2A">
              <w:t>a cross</w:t>
            </w:r>
            <w:r w:rsidR="00E87941">
              <w:noBreakHyphen/>
            </w:r>
            <w:r w:rsidRPr="00555A2A">
              <w:t>boundary greenhouse gas assessment permit, cross</w:t>
            </w:r>
            <w:r w:rsidR="00E87941">
              <w:noBreakHyphen/>
            </w:r>
            <w:r w:rsidRPr="00555A2A">
              <w:t>boundary greenhouse gas holding lease or cross</w:t>
            </w:r>
            <w:r w:rsidR="00E87941">
              <w:noBreakHyphen/>
            </w:r>
            <w:r w:rsidRPr="00555A2A">
              <w:t>boundary greenhouse gas injection licence</w:t>
            </w:r>
            <w:r w:rsidRPr="00A5447B">
              <w:t>:</w:t>
            </w:r>
          </w:p>
          <w:p w:rsidR="00CF6FE0" w:rsidRPr="00A5447B" w:rsidRDefault="00CF6FE0" w:rsidP="00DE23B5">
            <w:pPr>
              <w:pStyle w:val="Tablea"/>
            </w:pPr>
            <w:r w:rsidRPr="00A5447B">
              <w:t>(a) variation or suspension of any of the conditions to which the permit, lease or licence is subject;</w:t>
            </w:r>
          </w:p>
          <w:p w:rsidR="00CF6FE0" w:rsidRPr="00A5447B" w:rsidRDefault="00CF6FE0" w:rsidP="00DE23B5">
            <w:pPr>
              <w:pStyle w:val="Tablea"/>
            </w:pPr>
            <w:r w:rsidRPr="00A5447B">
              <w:t>(b) exemption from compliance with any of the conditions to which the permit, lease or licence is subject</w:t>
            </w:r>
          </w:p>
        </w:tc>
        <w:tc>
          <w:tcPr>
            <w:tcW w:w="615" w:type="pct"/>
            <w:shd w:val="clear" w:color="auto" w:fill="auto"/>
          </w:tcPr>
          <w:p w:rsidR="00CF6FE0" w:rsidRPr="00A5447B" w:rsidRDefault="00CF6FE0" w:rsidP="00AE5F74">
            <w:pPr>
              <w:pStyle w:val="Tabletext"/>
              <w:jc w:val="right"/>
            </w:pPr>
            <w:r w:rsidRPr="00A5447B">
              <w:t>7</w:t>
            </w:r>
            <w:r>
              <w:t> </w:t>
            </w:r>
            <w:bookmarkStart w:id="32" w:name="BK_S3P7L17C3"/>
            <w:bookmarkStart w:id="33" w:name="BK_S3P8L32C3"/>
            <w:bookmarkStart w:id="34" w:name="BK_S3P6L28C3"/>
            <w:bookmarkEnd w:id="32"/>
            <w:bookmarkEnd w:id="33"/>
            <w:bookmarkEnd w:id="34"/>
            <w:r w:rsidRPr="00A5447B">
              <w:t>500</w:t>
            </w:r>
          </w:p>
        </w:tc>
      </w:tr>
    </w:tbl>
    <w:p w:rsidR="000C5FC7" w:rsidRDefault="00BA1939" w:rsidP="000C5FC7">
      <w:pPr>
        <w:pStyle w:val="ItemHead"/>
      </w:pPr>
      <w:r>
        <w:t>35</w:t>
      </w:r>
      <w:r w:rsidR="00DE23B5">
        <w:t xml:space="preserve">  </w:t>
      </w:r>
      <w:r w:rsidR="00E66277">
        <w:t xml:space="preserve">Clause </w:t>
      </w:r>
      <w:r w:rsidR="00CB6EA6">
        <w:t>4</w:t>
      </w:r>
      <w:r w:rsidR="00E66277">
        <w:t xml:space="preserve"> of </w:t>
      </w:r>
      <w:r w:rsidR="00DE23B5">
        <w:t>Schedule 6 (after table item 201)</w:t>
      </w:r>
    </w:p>
    <w:p w:rsidR="00DE23B5" w:rsidRDefault="00DE23B5" w:rsidP="00DE23B5">
      <w:pPr>
        <w:pStyle w:val="Item"/>
      </w:pPr>
      <w:r>
        <w:t>Insert:</w:t>
      </w:r>
    </w:p>
    <w:p w:rsidR="00DE23B5" w:rsidRDefault="00DE23B5" w:rsidP="00DE23B5">
      <w:pPr>
        <w:pStyle w:val="Tabletext"/>
      </w:pPr>
    </w:p>
    <w:tbl>
      <w:tblPr>
        <w:tblW w:w="5000" w:type="pct"/>
        <w:tblLook w:val="0000" w:firstRow="0" w:lastRow="0" w:firstColumn="0" w:lastColumn="0" w:noHBand="0" w:noVBand="0"/>
      </w:tblPr>
      <w:tblGrid>
        <w:gridCol w:w="664"/>
        <w:gridCol w:w="6816"/>
        <w:gridCol w:w="1049"/>
      </w:tblGrid>
      <w:tr w:rsidR="00DE23B5" w:rsidRPr="00A5447B" w:rsidTr="00AE5F74">
        <w:tc>
          <w:tcPr>
            <w:tcW w:w="389" w:type="pct"/>
            <w:shd w:val="clear" w:color="auto" w:fill="auto"/>
          </w:tcPr>
          <w:p w:rsidR="00DE23B5" w:rsidRPr="00A5447B" w:rsidRDefault="00DE23B5" w:rsidP="00AE5F74">
            <w:pPr>
              <w:pStyle w:val="Tabletext"/>
            </w:pPr>
            <w:r>
              <w:t>201A</w:t>
            </w:r>
          </w:p>
        </w:tc>
        <w:tc>
          <w:tcPr>
            <w:tcW w:w="3996" w:type="pct"/>
            <w:shd w:val="clear" w:color="auto" w:fill="auto"/>
          </w:tcPr>
          <w:p w:rsidR="00DE23B5" w:rsidRPr="00A5447B" w:rsidRDefault="00DE23B5" w:rsidP="00AE5F74">
            <w:pPr>
              <w:pStyle w:val="Tablea"/>
            </w:pPr>
            <w:r>
              <w:t>C</w:t>
            </w:r>
            <w:r w:rsidRPr="00555A2A">
              <w:t>ross</w:t>
            </w:r>
            <w:r w:rsidR="00E87941">
              <w:noBreakHyphen/>
            </w:r>
            <w:r w:rsidRPr="00555A2A">
              <w:t>boundary greenhouse gas assessment permi</w:t>
            </w:r>
            <w:r>
              <w:t>t</w:t>
            </w:r>
          </w:p>
        </w:tc>
        <w:tc>
          <w:tcPr>
            <w:tcW w:w="615" w:type="pct"/>
            <w:shd w:val="clear" w:color="auto" w:fill="auto"/>
          </w:tcPr>
          <w:p w:rsidR="00DE23B5" w:rsidRPr="00A5447B" w:rsidRDefault="00DE23B5" w:rsidP="00AE5F74">
            <w:pPr>
              <w:pStyle w:val="Tabletext"/>
              <w:jc w:val="right"/>
            </w:pPr>
            <w:r w:rsidRPr="00A5447B">
              <w:t>7</w:t>
            </w:r>
            <w:r>
              <w:t> </w:t>
            </w:r>
            <w:bookmarkStart w:id="35" w:name="BK_S3P7L28C3"/>
            <w:bookmarkStart w:id="36" w:name="BK_S3P9L4C3"/>
            <w:bookmarkStart w:id="37" w:name="BK_S3P6L39C3"/>
            <w:bookmarkEnd w:id="35"/>
            <w:bookmarkEnd w:id="36"/>
            <w:bookmarkEnd w:id="37"/>
            <w:r w:rsidRPr="00A5447B">
              <w:t>500</w:t>
            </w:r>
          </w:p>
        </w:tc>
      </w:tr>
    </w:tbl>
    <w:p w:rsidR="00643D6A" w:rsidRDefault="00232B4D" w:rsidP="00232B4D">
      <w:pPr>
        <w:pStyle w:val="ActHead6"/>
        <w:pageBreakBefore/>
      </w:pPr>
      <w:bookmarkStart w:id="38" w:name="_Toc44409097"/>
      <w:bookmarkStart w:id="39" w:name="opcCurrentFind"/>
      <w:r w:rsidRPr="00E47068">
        <w:rPr>
          <w:rStyle w:val="CharAmSchNo"/>
        </w:rPr>
        <w:t>Schedule 2</w:t>
      </w:r>
      <w:r>
        <w:t>—</w:t>
      </w:r>
      <w:r w:rsidRPr="00E47068">
        <w:rPr>
          <w:rStyle w:val="CharAmSchText"/>
        </w:rPr>
        <w:t>Amendments relating to environment plans</w:t>
      </w:r>
      <w:bookmarkEnd w:id="38"/>
    </w:p>
    <w:bookmarkEnd w:id="39"/>
    <w:p w:rsidR="00232B4D" w:rsidRPr="00E47068" w:rsidRDefault="00232B4D" w:rsidP="00232B4D">
      <w:pPr>
        <w:pStyle w:val="Header"/>
      </w:pPr>
      <w:r w:rsidRPr="00E47068">
        <w:rPr>
          <w:rStyle w:val="CharAmPartNo"/>
        </w:rPr>
        <w:t xml:space="preserve"> </w:t>
      </w:r>
      <w:r w:rsidRPr="00E47068">
        <w:rPr>
          <w:rStyle w:val="CharAmPartText"/>
        </w:rPr>
        <w:t xml:space="preserve"> </w:t>
      </w:r>
    </w:p>
    <w:p w:rsidR="00232B4D" w:rsidRDefault="00232B4D" w:rsidP="00232B4D">
      <w:pPr>
        <w:pStyle w:val="ActHead9"/>
      </w:pPr>
      <w:bookmarkStart w:id="40" w:name="_Toc44409098"/>
      <w:r w:rsidRPr="00A31496">
        <w:t>Offshore Petroleum and Greenhouse Gas Storage (Resource Management and Administration) Regulations 2011</w:t>
      </w:r>
      <w:bookmarkEnd w:id="40"/>
    </w:p>
    <w:p w:rsidR="00232B4D" w:rsidRDefault="00300B65" w:rsidP="00232B4D">
      <w:pPr>
        <w:pStyle w:val="ItemHead"/>
      </w:pPr>
      <w:r>
        <w:t xml:space="preserve">1  </w:t>
      </w:r>
      <w:r w:rsidR="00E66277">
        <w:t>R</w:t>
      </w:r>
      <w:r>
        <w:t>egulation 11B.01</w:t>
      </w:r>
      <w:r w:rsidR="00E66277">
        <w:t xml:space="preserve"> (after table item 8)</w:t>
      </w:r>
    </w:p>
    <w:p w:rsidR="00300B65" w:rsidRDefault="00300B65" w:rsidP="00300B65">
      <w:pPr>
        <w:pStyle w:val="Item"/>
      </w:pPr>
      <w:r>
        <w:t>Insert:</w:t>
      </w:r>
    </w:p>
    <w:p w:rsidR="00300B65" w:rsidRDefault="00300B65" w:rsidP="00300B65">
      <w:pPr>
        <w:pStyle w:val="Tabletext"/>
      </w:pPr>
    </w:p>
    <w:tbl>
      <w:tblPr>
        <w:tblW w:w="5000" w:type="pct"/>
        <w:tblLook w:val="0000" w:firstRow="0" w:lastRow="0" w:firstColumn="0" w:lastColumn="0" w:noHBand="0" w:noVBand="0"/>
      </w:tblPr>
      <w:tblGrid>
        <w:gridCol w:w="663"/>
        <w:gridCol w:w="2989"/>
        <w:gridCol w:w="4877"/>
      </w:tblGrid>
      <w:tr w:rsidR="00300B65" w:rsidRPr="00A5447B" w:rsidTr="00300B65">
        <w:tc>
          <w:tcPr>
            <w:tcW w:w="389" w:type="pct"/>
            <w:shd w:val="clear" w:color="auto" w:fill="auto"/>
          </w:tcPr>
          <w:p w:rsidR="00300B65" w:rsidRPr="00A5447B" w:rsidRDefault="00300B65" w:rsidP="00AE5F74">
            <w:pPr>
              <w:pStyle w:val="Tabletext"/>
            </w:pPr>
            <w:r>
              <w:t>8A</w:t>
            </w:r>
          </w:p>
        </w:tc>
        <w:tc>
          <w:tcPr>
            <w:tcW w:w="1752" w:type="pct"/>
            <w:shd w:val="clear" w:color="auto" w:fill="auto"/>
          </w:tcPr>
          <w:p w:rsidR="00300B65" w:rsidRPr="00A5447B" w:rsidRDefault="00300B65" w:rsidP="00300B65">
            <w:pPr>
              <w:pStyle w:val="Tabletext"/>
            </w:pPr>
            <w:r>
              <w:t xml:space="preserve">Definition of </w:t>
            </w:r>
            <w:r w:rsidRPr="00300B65">
              <w:rPr>
                <w:b/>
                <w:i/>
              </w:rPr>
              <w:t>e</w:t>
            </w:r>
            <w:bookmarkStart w:id="41" w:name="BK_S3P9L9C16"/>
            <w:bookmarkStart w:id="42" w:name="BK_S3P10L9C16"/>
            <w:bookmarkStart w:id="43" w:name="BK_S3P7L9C16"/>
            <w:bookmarkEnd w:id="41"/>
            <w:bookmarkEnd w:id="42"/>
            <w:bookmarkEnd w:id="43"/>
            <w:r w:rsidRPr="00300B65">
              <w:rPr>
                <w:b/>
                <w:i/>
              </w:rPr>
              <w:t>nvironment plan</w:t>
            </w:r>
            <w:r>
              <w:t xml:space="preserve"> in subsection 576C(9)</w:t>
            </w:r>
          </w:p>
        </w:tc>
        <w:tc>
          <w:tcPr>
            <w:tcW w:w="2859" w:type="pct"/>
            <w:shd w:val="clear" w:color="auto" w:fill="auto"/>
          </w:tcPr>
          <w:p w:rsidR="00300B65" w:rsidRPr="00300B65" w:rsidRDefault="00300B65" w:rsidP="00300B65">
            <w:pPr>
              <w:pStyle w:val="Tabletext"/>
              <w:rPr>
                <w:i/>
              </w:rPr>
            </w:pPr>
            <w:r w:rsidRPr="00300B65">
              <w:rPr>
                <w:i/>
              </w:rPr>
              <w:t>Offshore Petroleum and Greenhouse Gas Storage (Environment) Regulations 2009</w:t>
            </w:r>
          </w:p>
        </w:tc>
      </w:tr>
    </w:tbl>
    <w:p w:rsidR="00300B65" w:rsidRDefault="00300B65" w:rsidP="00300B65">
      <w:pPr>
        <w:pStyle w:val="ItemHead"/>
      </w:pPr>
      <w:r>
        <w:t xml:space="preserve">2  </w:t>
      </w:r>
      <w:r w:rsidR="00E66277">
        <w:t>R</w:t>
      </w:r>
      <w:r>
        <w:t>egulation 11B.01</w:t>
      </w:r>
      <w:r w:rsidR="00E66277">
        <w:t xml:space="preserve"> (after table item 20)</w:t>
      </w:r>
    </w:p>
    <w:p w:rsidR="00300B65" w:rsidRDefault="00300B65" w:rsidP="00300B65">
      <w:pPr>
        <w:pStyle w:val="Item"/>
      </w:pPr>
      <w:r>
        <w:t>Insert:</w:t>
      </w:r>
    </w:p>
    <w:p w:rsidR="00300B65" w:rsidRDefault="00300B65" w:rsidP="00300B6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63"/>
        <w:gridCol w:w="2989"/>
        <w:gridCol w:w="4877"/>
      </w:tblGrid>
      <w:tr w:rsidR="00300B65" w:rsidRPr="00A5447B" w:rsidTr="00300B65">
        <w:tc>
          <w:tcPr>
            <w:tcW w:w="389" w:type="pct"/>
            <w:tcBorders>
              <w:top w:val="nil"/>
              <w:bottom w:val="single" w:sz="2" w:space="0" w:color="auto"/>
            </w:tcBorders>
            <w:shd w:val="clear" w:color="auto" w:fill="auto"/>
          </w:tcPr>
          <w:p w:rsidR="00300B65" w:rsidRPr="00A5447B" w:rsidRDefault="00300B65" w:rsidP="00AE5F74">
            <w:pPr>
              <w:pStyle w:val="Tabletext"/>
            </w:pPr>
            <w:r>
              <w:t>20A</w:t>
            </w:r>
          </w:p>
        </w:tc>
        <w:tc>
          <w:tcPr>
            <w:tcW w:w="1752" w:type="pct"/>
            <w:tcBorders>
              <w:top w:val="nil"/>
              <w:bottom w:val="single" w:sz="2" w:space="0" w:color="auto"/>
            </w:tcBorders>
            <w:shd w:val="clear" w:color="auto" w:fill="auto"/>
          </w:tcPr>
          <w:p w:rsidR="00300B65" w:rsidRPr="00A5447B" w:rsidRDefault="00D818B7" w:rsidP="00AE5F74">
            <w:pPr>
              <w:pStyle w:val="Tabletext"/>
            </w:pPr>
            <w:r>
              <w:t>Subsection 790B(1)</w:t>
            </w:r>
          </w:p>
        </w:tc>
        <w:tc>
          <w:tcPr>
            <w:tcW w:w="2859" w:type="pct"/>
            <w:tcBorders>
              <w:top w:val="nil"/>
              <w:bottom w:val="single" w:sz="2" w:space="0" w:color="auto"/>
            </w:tcBorders>
            <w:shd w:val="clear" w:color="auto" w:fill="auto"/>
          </w:tcPr>
          <w:p w:rsidR="00300B65" w:rsidRPr="00300B65" w:rsidRDefault="00300B65" w:rsidP="00AE5F74">
            <w:pPr>
              <w:pStyle w:val="Tabletext"/>
              <w:rPr>
                <w:i/>
              </w:rPr>
            </w:pPr>
            <w:r w:rsidRPr="00300B65">
              <w:rPr>
                <w:i/>
              </w:rPr>
              <w:t>Offshore Petroleum and Greenhouse Gas Storage (Environment) Regulations 2009</w:t>
            </w:r>
          </w:p>
        </w:tc>
      </w:tr>
      <w:tr w:rsidR="00D818B7" w:rsidRPr="00A5447B" w:rsidTr="00300B65">
        <w:tc>
          <w:tcPr>
            <w:tcW w:w="389" w:type="pct"/>
            <w:tcBorders>
              <w:top w:val="single" w:sz="2" w:space="0" w:color="auto"/>
              <w:bottom w:val="nil"/>
            </w:tcBorders>
            <w:shd w:val="clear" w:color="auto" w:fill="auto"/>
          </w:tcPr>
          <w:p w:rsidR="00D818B7" w:rsidRDefault="00D818B7" w:rsidP="008A2425">
            <w:pPr>
              <w:pStyle w:val="Tabletext"/>
            </w:pPr>
            <w:r>
              <w:t>20</w:t>
            </w:r>
            <w:r w:rsidR="008A2425">
              <w:t>B</w:t>
            </w:r>
          </w:p>
        </w:tc>
        <w:tc>
          <w:tcPr>
            <w:tcW w:w="1752" w:type="pct"/>
            <w:tcBorders>
              <w:top w:val="single" w:sz="2" w:space="0" w:color="auto"/>
              <w:bottom w:val="nil"/>
            </w:tcBorders>
            <w:shd w:val="clear" w:color="auto" w:fill="auto"/>
          </w:tcPr>
          <w:p w:rsidR="00D818B7" w:rsidRDefault="00D818B7" w:rsidP="00AE5F74">
            <w:pPr>
              <w:pStyle w:val="Tabletext"/>
            </w:pPr>
            <w:r>
              <w:t xml:space="preserve">Definition of </w:t>
            </w:r>
            <w:r w:rsidRPr="00300B65">
              <w:rPr>
                <w:b/>
                <w:i/>
              </w:rPr>
              <w:t>environment plan</w:t>
            </w:r>
            <w:r>
              <w:t xml:space="preserve"> in clause 2 of Schedule 2A</w:t>
            </w:r>
          </w:p>
        </w:tc>
        <w:tc>
          <w:tcPr>
            <w:tcW w:w="2859" w:type="pct"/>
            <w:tcBorders>
              <w:top w:val="single" w:sz="2" w:space="0" w:color="auto"/>
              <w:bottom w:val="nil"/>
            </w:tcBorders>
            <w:shd w:val="clear" w:color="auto" w:fill="auto"/>
          </w:tcPr>
          <w:p w:rsidR="00D818B7" w:rsidRPr="00300B65" w:rsidRDefault="00D818B7" w:rsidP="00AE5F74">
            <w:pPr>
              <w:pStyle w:val="Tabletext"/>
              <w:rPr>
                <w:i/>
              </w:rPr>
            </w:pPr>
            <w:r w:rsidRPr="00300B65">
              <w:rPr>
                <w:i/>
              </w:rPr>
              <w:t>Offshore Petroleum and Greenhouse Gas Storage (Environment) Regulations 2009</w:t>
            </w:r>
          </w:p>
        </w:tc>
      </w:tr>
    </w:tbl>
    <w:p w:rsidR="00300B65" w:rsidRPr="00FF2296" w:rsidRDefault="00300B65" w:rsidP="00410E2F"/>
    <w:sectPr w:rsidR="00300B65" w:rsidRPr="00FF2296" w:rsidSect="00C339C6">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4B" w:rsidRDefault="001B344B" w:rsidP="0048364F">
      <w:pPr>
        <w:spacing w:line="240" w:lineRule="auto"/>
      </w:pPr>
      <w:r>
        <w:separator/>
      </w:r>
    </w:p>
  </w:endnote>
  <w:endnote w:type="continuationSeparator" w:id="0">
    <w:p w:rsidR="001B344B" w:rsidRDefault="001B344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C339C6" w:rsidRDefault="00C339C6" w:rsidP="00C339C6">
    <w:pPr>
      <w:pStyle w:val="Footer"/>
      <w:tabs>
        <w:tab w:val="clear" w:pos="4153"/>
        <w:tab w:val="clear" w:pos="8306"/>
        <w:tab w:val="center" w:pos="4150"/>
        <w:tab w:val="right" w:pos="8307"/>
      </w:tabs>
      <w:spacing w:before="120"/>
      <w:rPr>
        <w:i/>
        <w:sz w:val="18"/>
      </w:rPr>
    </w:pPr>
    <w:r w:rsidRPr="00C339C6">
      <w:rPr>
        <w:i/>
        <w:sz w:val="18"/>
      </w:rPr>
      <w:t>OPC64306 -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Default="001B344B" w:rsidP="00E97334"/>
  <w:p w:rsidR="001B344B" w:rsidRPr="00C339C6" w:rsidRDefault="00C339C6" w:rsidP="00C339C6">
    <w:pPr>
      <w:rPr>
        <w:rFonts w:cs="Times New Roman"/>
        <w:i/>
        <w:sz w:val="18"/>
      </w:rPr>
    </w:pPr>
    <w:r w:rsidRPr="00C339C6">
      <w:rPr>
        <w:rFonts w:cs="Times New Roman"/>
        <w:i/>
        <w:sz w:val="18"/>
      </w:rPr>
      <w:t>OPC64306 -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C339C6" w:rsidRDefault="00C339C6" w:rsidP="00C339C6">
    <w:pPr>
      <w:pStyle w:val="Footer"/>
      <w:tabs>
        <w:tab w:val="clear" w:pos="4153"/>
        <w:tab w:val="clear" w:pos="8306"/>
        <w:tab w:val="center" w:pos="4150"/>
        <w:tab w:val="right" w:pos="8307"/>
      </w:tabs>
      <w:spacing w:before="120"/>
      <w:rPr>
        <w:i/>
        <w:sz w:val="18"/>
      </w:rPr>
    </w:pPr>
    <w:r w:rsidRPr="00C339C6">
      <w:rPr>
        <w:i/>
        <w:sz w:val="18"/>
      </w:rPr>
      <w:t>OPC64306 -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33C1C" w:rsidRDefault="001B344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B344B" w:rsidTr="00E47068">
      <w:tc>
        <w:tcPr>
          <w:tcW w:w="709" w:type="dxa"/>
          <w:tcBorders>
            <w:top w:val="nil"/>
            <w:left w:val="nil"/>
            <w:bottom w:val="nil"/>
            <w:right w:val="nil"/>
          </w:tcBorders>
        </w:tcPr>
        <w:p w:rsidR="001B344B" w:rsidRDefault="001B344B" w:rsidP="00AE5F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6C62">
            <w:rPr>
              <w:i/>
              <w:noProof/>
              <w:sz w:val="18"/>
            </w:rPr>
            <w:t>vii</w:t>
          </w:r>
          <w:r w:rsidRPr="00ED79B6">
            <w:rPr>
              <w:i/>
              <w:sz w:val="18"/>
            </w:rPr>
            <w:fldChar w:fldCharType="end"/>
          </w:r>
        </w:p>
      </w:tc>
      <w:tc>
        <w:tcPr>
          <w:tcW w:w="6379" w:type="dxa"/>
          <w:tcBorders>
            <w:top w:val="nil"/>
            <w:left w:val="nil"/>
            <w:bottom w:val="nil"/>
            <w:right w:val="nil"/>
          </w:tcBorders>
        </w:tcPr>
        <w:p w:rsidR="001B344B" w:rsidRDefault="001B344B" w:rsidP="00AE5F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239">
            <w:rPr>
              <w:i/>
              <w:sz w:val="18"/>
            </w:rPr>
            <w:t>Offshore Petroleum and Greenhouse Gas Storage Legislation Amendment (Cross-boundary Greenhouse Gas Storage) Regulations 2020</w:t>
          </w:r>
          <w:r w:rsidRPr="007A1328">
            <w:rPr>
              <w:i/>
              <w:sz w:val="18"/>
            </w:rPr>
            <w:fldChar w:fldCharType="end"/>
          </w:r>
        </w:p>
      </w:tc>
      <w:tc>
        <w:tcPr>
          <w:tcW w:w="1384" w:type="dxa"/>
          <w:tcBorders>
            <w:top w:val="nil"/>
            <w:left w:val="nil"/>
            <w:bottom w:val="nil"/>
            <w:right w:val="nil"/>
          </w:tcBorders>
        </w:tcPr>
        <w:p w:rsidR="001B344B" w:rsidRDefault="001B344B" w:rsidP="00AE5F74">
          <w:pPr>
            <w:spacing w:line="0" w:lineRule="atLeast"/>
            <w:jc w:val="right"/>
            <w:rPr>
              <w:sz w:val="18"/>
            </w:rPr>
          </w:pPr>
        </w:p>
      </w:tc>
    </w:tr>
  </w:tbl>
  <w:p w:rsidR="001B344B" w:rsidRPr="00C339C6" w:rsidRDefault="00C339C6" w:rsidP="00C339C6">
    <w:pPr>
      <w:rPr>
        <w:rFonts w:cs="Times New Roman"/>
        <w:i/>
        <w:sz w:val="18"/>
      </w:rPr>
    </w:pPr>
    <w:r w:rsidRPr="00C339C6">
      <w:rPr>
        <w:rFonts w:cs="Times New Roman"/>
        <w:i/>
        <w:sz w:val="18"/>
      </w:rPr>
      <w:t>OPC64306 -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33C1C" w:rsidRDefault="001B344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B344B" w:rsidTr="00E47068">
      <w:tc>
        <w:tcPr>
          <w:tcW w:w="1383" w:type="dxa"/>
          <w:tcBorders>
            <w:top w:val="nil"/>
            <w:left w:val="nil"/>
            <w:bottom w:val="nil"/>
            <w:right w:val="nil"/>
          </w:tcBorders>
        </w:tcPr>
        <w:p w:rsidR="001B344B" w:rsidRDefault="001B344B" w:rsidP="00AE5F74">
          <w:pPr>
            <w:spacing w:line="0" w:lineRule="atLeast"/>
            <w:rPr>
              <w:sz w:val="18"/>
            </w:rPr>
          </w:pPr>
        </w:p>
      </w:tc>
      <w:tc>
        <w:tcPr>
          <w:tcW w:w="6379" w:type="dxa"/>
          <w:tcBorders>
            <w:top w:val="nil"/>
            <w:left w:val="nil"/>
            <w:bottom w:val="nil"/>
            <w:right w:val="nil"/>
          </w:tcBorders>
        </w:tcPr>
        <w:p w:rsidR="001B344B" w:rsidRDefault="001B344B" w:rsidP="00AE5F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239">
            <w:rPr>
              <w:i/>
              <w:sz w:val="18"/>
            </w:rPr>
            <w:t>Offshore Petroleum and Greenhouse Gas Storage Legislation Amendment (Cross-boundary Greenhouse Gas Storage) Regulations 2020</w:t>
          </w:r>
          <w:r w:rsidRPr="007A1328">
            <w:rPr>
              <w:i/>
              <w:sz w:val="18"/>
            </w:rPr>
            <w:fldChar w:fldCharType="end"/>
          </w:r>
        </w:p>
      </w:tc>
      <w:tc>
        <w:tcPr>
          <w:tcW w:w="710" w:type="dxa"/>
          <w:tcBorders>
            <w:top w:val="nil"/>
            <w:left w:val="nil"/>
            <w:bottom w:val="nil"/>
            <w:right w:val="nil"/>
          </w:tcBorders>
        </w:tcPr>
        <w:p w:rsidR="001B344B" w:rsidRDefault="001B344B" w:rsidP="00AE5F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3E17">
            <w:rPr>
              <w:i/>
              <w:noProof/>
              <w:sz w:val="18"/>
            </w:rPr>
            <w:t>i</w:t>
          </w:r>
          <w:r w:rsidRPr="00ED79B6">
            <w:rPr>
              <w:i/>
              <w:sz w:val="18"/>
            </w:rPr>
            <w:fldChar w:fldCharType="end"/>
          </w:r>
        </w:p>
      </w:tc>
    </w:tr>
  </w:tbl>
  <w:p w:rsidR="001B344B" w:rsidRPr="00C339C6" w:rsidRDefault="00C339C6" w:rsidP="00C339C6">
    <w:pPr>
      <w:rPr>
        <w:rFonts w:cs="Times New Roman"/>
        <w:i/>
        <w:sz w:val="18"/>
      </w:rPr>
    </w:pPr>
    <w:r w:rsidRPr="00C339C6">
      <w:rPr>
        <w:rFonts w:cs="Times New Roman"/>
        <w:i/>
        <w:sz w:val="18"/>
      </w:rPr>
      <w:t>OPC64306 -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33C1C" w:rsidRDefault="001B344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B344B" w:rsidTr="00E47068">
      <w:tc>
        <w:tcPr>
          <w:tcW w:w="709" w:type="dxa"/>
          <w:tcBorders>
            <w:top w:val="nil"/>
            <w:left w:val="nil"/>
            <w:bottom w:val="nil"/>
            <w:right w:val="nil"/>
          </w:tcBorders>
        </w:tcPr>
        <w:p w:rsidR="001B344B" w:rsidRDefault="001B344B" w:rsidP="00AE5F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3E17">
            <w:rPr>
              <w:i/>
              <w:noProof/>
              <w:sz w:val="18"/>
            </w:rPr>
            <w:t>2</w:t>
          </w:r>
          <w:r w:rsidRPr="00ED79B6">
            <w:rPr>
              <w:i/>
              <w:sz w:val="18"/>
            </w:rPr>
            <w:fldChar w:fldCharType="end"/>
          </w:r>
        </w:p>
      </w:tc>
      <w:tc>
        <w:tcPr>
          <w:tcW w:w="6379" w:type="dxa"/>
          <w:tcBorders>
            <w:top w:val="nil"/>
            <w:left w:val="nil"/>
            <w:bottom w:val="nil"/>
            <w:right w:val="nil"/>
          </w:tcBorders>
        </w:tcPr>
        <w:p w:rsidR="001B344B" w:rsidRDefault="001B344B" w:rsidP="00AE5F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239">
            <w:rPr>
              <w:i/>
              <w:sz w:val="18"/>
            </w:rPr>
            <w:t>Offshore Petroleum and Greenhouse Gas Storage Legislation Amendment (Cross-boundary Greenhouse Gas Storage) Regulations 2020</w:t>
          </w:r>
          <w:r w:rsidRPr="007A1328">
            <w:rPr>
              <w:i/>
              <w:sz w:val="18"/>
            </w:rPr>
            <w:fldChar w:fldCharType="end"/>
          </w:r>
        </w:p>
      </w:tc>
      <w:tc>
        <w:tcPr>
          <w:tcW w:w="1384" w:type="dxa"/>
          <w:tcBorders>
            <w:top w:val="nil"/>
            <w:left w:val="nil"/>
            <w:bottom w:val="nil"/>
            <w:right w:val="nil"/>
          </w:tcBorders>
        </w:tcPr>
        <w:p w:rsidR="001B344B" w:rsidRDefault="001B344B" w:rsidP="00AE5F74">
          <w:pPr>
            <w:spacing w:line="0" w:lineRule="atLeast"/>
            <w:jc w:val="right"/>
            <w:rPr>
              <w:sz w:val="18"/>
            </w:rPr>
          </w:pPr>
        </w:p>
      </w:tc>
    </w:tr>
  </w:tbl>
  <w:p w:rsidR="001B344B" w:rsidRPr="00C339C6" w:rsidRDefault="00C339C6" w:rsidP="00C339C6">
    <w:pPr>
      <w:rPr>
        <w:rFonts w:cs="Times New Roman"/>
        <w:i/>
        <w:sz w:val="18"/>
      </w:rPr>
    </w:pPr>
    <w:r w:rsidRPr="00C339C6">
      <w:rPr>
        <w:rFonts w:cs="Times New Roman"/>
        <w:i/>
        <w:sz w:val="18"/>
      </w:rPr>
      <w:t>OPC64306 -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33C1C" w:rsidRDefault="001B344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B344B" w:rsidTr="00AE5F74">
      <w:tc>
        <w:tcPr>
          <w:tcW w:w="1384" w:type="dxa"/>
          <w:tcBorders>
            <w:top w:val="nil"/>
            <w:left w:val="nil"/>
            <w:bottom w:val="nil"/>
            <w:right w:val="nil"/>
          </w:tcBorders>
        </w:tcPr>
        <w:p w:rsidR="001B344B" w:rsidRDefault="001B344B" w:rsidP="00AE5F74">
          <w:pPr>
            <w:spacing w:line="0" w:lineRule="atLeast"/>
            <w:rPr>
              <w:sz w:val="18"/>
            </w:rPr>
          </w:pPr>
        </w:p>
      </w:tc>
      <w:tc>
        <w:tcPr>
          <w:tcW w:w="6379" w:type="dxa"/>
          <w:tcBorders>
            <w:top w:val="nil"/>
            <w:left w:val="nil"/>
            <w:bottom w:val="nil"/>
            <w:right w:val="nil"/>
          </w:tcBorders>
        </w:tcPr>
        <w:p w:rsidR="001B344B" w:rsidRDefault="001B344B" w:rsidP="00AE5F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239">
            <w:rPr>
              <w:i/>
              <w:sz w:val="18"/>
            </w:rPr>
            <w:t>Offshore Petroleum and Greenhouse Gas Storage Legislation Amendment (Cross-boundary Greenhouse Gas Storage) Regulations 2020</w:t>
          </w:r>
          <w:r w:rsidRPr="007A1328">
            <w:rPr>
              <w:i/>
              <w:sz w:val="18"/>
            </w:rPr>
            <w:fldChar w:fldCharType="end"/>
          </w:r>
        </w:p>
      </w:tc>
      <w:tc>
        <w:tcPr>
          <w:tcW w:w="709" w:type="dxa"/>
          <w:tcBorders>
            <w:top w:val="nil"/>
            <w:left w:val="nil"/>
            <w:bottom w:val="nil"/>
            <w:right w:val="nil"/>
          </w:tcBorders>
        </w:tcPr>
        <w:p w:rsidR="001B344B" w:rsidRDefault="001B344B" w:rsidP="00AE5F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3E17">
            <w:rPr>
              <w:i/>
              <w:noProof/>
              <w:sz w:val="18"/>
            </w:rPr>
            <w:t>1</w:t>
          </w:r>
          <w:r w:rsidRPr="00ED79B6">
            <w:rPr>
              <w:i/>
              <w:sz w:val="18"/>
            </w:rPr>
            <w:fldChar w:fldCharType="end"/>
          </w:r>
        </w:p>
      </w:tc>
    </w:tr>
  </w:tbl>
  <w:p w:rsidR="001B344B" w:rsidRPr="00C339C6" w:rsidRDefault="00C339C6" w:rsidP="00C339C6">
    <w:pPr>
      <w:rPr>
        <w:rFonts w:cs="Times New Roman"/>
        <w:i/>
        <w:sz w:val="18"/>
      </w:rPr>
    </w:pPr>
    <w:r w:rsidRPr="00C339C6">
      <w:rPr>
        <w:rFonts w:cs="Times New Roman"/>
        <w:i/>
        <w:sz w:val="18"/>
      </w:rPr>
      <w:t>OPC64306 -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33C1C" w:rsidRDefault="001B344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B344B" w:rsidTr="007A6863">
      <w:tc>
        <w:tcPr>
          <w:tcW w:w="1384" w:type="dxa"/>
          <w:tcBorders>
            <w:top w:val="nil"/>
            <w:left w:val="nil"/>
            <w:bottom w:val="nil"/>
            <w:right w:val="nil"/>
          </w:tcBorders>
        </w:tcPr>
        <w:p w:rsidR="001B344B" w:rsidRDefault="001B344B" w:rsidP="00AE5F74">
          <w:pPr>
            <w:spacing w:line="0" w:lineRule="atLeast"/>
            <w:rPr>
              <w:sz w:val="18"/>
            </w:rPr>
          </w:pPr>
        </w:p>
      </w:tc>
      <w:tc>
        <w:tcPr>
          <w:tcW w:w="6379" w:type="dxa"/>
          <w:tcBorders>
            <w:top w:val="nil"/>
            <w:left w:val="nil"/>
            <w:bottom w:val="nil"/>
            <w:right w:val="nil"/>
          </w:tcBorders>
        </w:tcPr>
        <w:p w:rsidR="001B344B" w:rsidRDefault="001B344B" w:rsidP="00AE5F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239">
            <w:rPr>
              <w:i/>
              <w:sz w:val="18"/>
            </w:rPr>
            <w:t>Offshore Petroleum and Greenhouse Gas Storage Legislation Amendment (Cross-boundary Greenhouse Gas Storage) Regulations 2020</w:t>
          </w:r>
          <w:r w:rsidRPr="007A1328">
            <w:rPr>
              <w:i/>
              <w:sz w:val="18"/>
            </w:rPr>
            <w:fldChar w:fldCharType="end"/>
          </w:r>
        </w:p>
      </w:tc>
      <w:tc>
        <w:tcPr>
          <w:tcW w:w="709" w:type="dxa"/>
          <w:tcBorders>
            <w:top w:val="nil"/>
            <w:left w:val="nil"/>
            <w:bottom w:val="nil"/>
            <w:right w:val="nil"/>
          </w:tcBorders>
        </w:tcPr>
        <w:p w:rsidR="001B344B" w:rsidRDefault="001B344B" w:rsidP="00AE5F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6C62">
            <w:rPr>
              <w:i/>
              <w:noProof/>
              <w:sz w:val="18"/>
            </w:rPr>
            <w:t>7</w:t>
          </w:r>
          <w:r w:rsidRPr="00ED79B6">
            <w:rPr>
              <w:i/>
              <w:sz w:val="18"/>
            </w:rPr>
            <w:fldChar w:fldCharType="end"/>
          </w:r>
        </w:p>
      </w:tc>
    </w:tr>
  </w:tbl>
  <w:p w:rsidR="001B344B" w:rsidRPr="00C339C6" w:rsidRDefault="00C339C6" w:rsidP="00C339C6">
    <w:pPr>
      <w:rPr>
        <w:rFonts w:cs="Times New Roman"/>
        <w:i/>
        <w:sz w:val="18"/>
      </w:rPr>
    </w:pPr>
    <w:r w:rsidRPr="00C339C6">
      <w:rPr>
        <w:rFonts w:cs="Times New Roman"/>
        <w:i/>
        <w:sz w:val="18"/>
      </w:rPr>
      <w:t>OPC64306 -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4B" w:rsidRDefault="001B344B" w:rsidP="0048364F">
      <w:pPr>
        <w:spacing w:line="240" w:lineRule="auto"/>
      </w:pPr>
      <w:r>
        <w:separator/>
      </w:r>
    </w:p>
  </w:footnote>
  <w:footnote w:type="continuationSeparator" w:id="0">
    <w:p w:rsidR="001B344B" w:rsidRDefault="001B344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5F1388" w:rsidRDefault="001B344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5F1388" w:rsidRDefault="001B344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5F1388" w:rsidRDefault="001B344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D79B6" w:rsidRDefault="001B344B"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D79B6" w:rsidRDefault="001B344B"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ED79B6" w:rsidRDefault="001B344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A961C4" w:rsidRDefault="001B344B" w:rsidP="0048364F">
    <w:pPr>
      <w:rPr>
        <w:b/>
        <w:sz w:val="20"/>
      </w:rPr>
    </w:pPr>
    <w:r>
      <w:rPr>
        <w:b/>
        <w:sz w:val="20"/>
      </w:rPr>
      <w:fldChar w:fldCharType="begin"/>
    </w:r>
    <w:r>
      <w:rPr>
        <w:b/>
        <w:sz w:val="20"/>
      </w:rPr>
      <w:instrText xml:space="preserve"> STYLEREF CharAmSchNo </w:instrText>
    </w:r>
    <w:r>
      <w:rPr>
        <w:b/>
        <w:sz w:val="20"/>
      </w:rPr>
      <w:fldChar w:fldCharType="separate"/>
    </w:r>
    <w:r w:rsidR="00503E1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03E17">
      <w:rPr>
        <w:noProof/>
        <w:sz w:val="20"/>
      </w:rPr>
      <w:t>Main amendments</w:t>
    </w:r>
    <w:r>
      <w:rPr>
        <w:sz w:val="20"/>
      </w:rPr>
      <w:fldChar w:fldCharType="end"/>
    </w:r>
  </w:p>
  <w:p w:rsidR="001B344B" w:rsidRPr="00A961C4" w:rsidRDefault="001B344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B344B" w:rsidRPr="00A961C4" w:rsidRDefault="001B344B"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A961C4" w:rsidRDefault="001B344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B344B" w:rsidRPr="00A961C4" w:rsidRDefault="001B344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B344B" w:rsidRPr="00A961C4" w:rsidRDefault="001B344B"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A961C4" w:rsidRDefault="001B344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B7"/>
    <w:rsid w:val="00000263"/>
    <w:rsid w:val="0000122C"/>
    <w:rsid w:val="00002EED"/>
    <w:rsid w:val="000113BC"/>
    <w:rsid w:val="000136AF"/>
    <w:rsid w:val="00017A5F"/>
    <w:rsid w:val="00027BE5"/>
    <w:rsid w:val="0004044E"/>
    <w:rsid w:val="00046F47"/>
    <w:rsid w:val="0005120E"/>
    <w:rsid w:val="00054577"/>
    <w:rsid w:val="000614BF"/>
    <w:rsid w:val="0007169C"/>
    <w:rsid w:val="00077593"/>
    <w:rsid w:val="00083F48"/>
    <w:rsid w:val="00093C7E"/>
    <w:rsid w:val="000A7DF9"/>
    <w:rsid w:val="000B34AB"/>
    <w:rsid w:val="000C5FC7"/>
    <w:rsid w:val="000D05EF"/>
    <w:rsid w:val="000D5485"/>
    <w:rsid w:val="000F21C1"/>
    <w:rsid w:val="00105D72"/>
    <w:rsid w:val="0010745C"/>
    <w:rsid w:val="00110921"/>
    <w:rsid w:val="0011706E"/>
    <w:rsid w:val="00117277"/>
    <w:rsid w:val="00123F4B"/>
    <w:rsid w:val="00130058"/>
    <w:rsid w:val="00133F79"/>
    <w:rsid w:val="0013522E"/>
    <w:rsid w:val="001360A3"/>
    <w:rsid w:val="00160BD7"/>
    <w:rsid w:val="001643C9"/>
    <w:rsid w:val="00165568"/>
    <w:rsid w:val="00166082"/>
    <w:rsid w:val="00166C2F"/>
    <w:rsid w:val="0016774F"/>
    <w:rsid w:val="001716C9"/>
    <w:rsid w:val="00184261"/>
    <w:rsid w:val="00187BB7"/>
    <w:rsid w:val="00190DF5"/>
    <w:rsid w:val="00193461"/>
    <w:rsid w:val="001939E1"/>
    <w:rsid w:val="00195382"/>
    <w:rsid w:val="001A3B9F"/>
    <w:rsid w:val="001A65C0"/>
    <w:rsid w:val="001B344B"/>
    <w:rsid w:val="001B6456"/>
    <w:rsid w:val="001B7A5D"/>
    <w:rsid w:val="001C3FAF"/>
    <w:rsid w:val="001C69C4"/>
    <w:rsid w:val="001D30CF"/>
    <w:rsid w:val="001E0A8D"/>
    <w:rsid w:val="001E3590"/>
    <w:rsid w:val="001E7407"/>
    <w:rsid w:val="00201D27"/>
    <w:rsid w:val="0020300C"/>
    <w:rsid w:val="00214F6F"/>
    <w:rsid w:val="00217C32"/>
    <w:rsid w:val="00220A0C"/>
    <w:rsid w:val="00223E4A"/>
    <w:rsid w:val="002302EA"/>
    <w:rsid w:val="00232B4D"/>
    <w:rsid w:val="00240749"/>
    <w:rsid w:val="00242D90"/>
    <w:rsid w:val="00243C7C"/>
    <w:rsid w:val="002468D7"/>
    <w:rsid w:val="00276A97"/>
    <w:rsid w:val="00285CDD"/>
    <w:rsid w:val="002869D8"/>
    <w:rsid w:val="00291167"/>
    <w:rsid w:val="00297ECB"/>
    <w:rsid w:val="002A0E8C"/>
    <w:rsid w:val="002C152A"/>
    <w:rsid w:val="002D043A"/>
    <w:rsid w:val="002E0149"/>
    <w:rsid w:val="002F7E8A"/>
    <w:rsid w:val="00300B65"/>
    <w:rsid w:val="0031713F"/>
    <w:rsid w:val="00321913"/>
    <w:rsid w:val="00324EE6"/>
    <w:rsid w:val="003316DC"/>
    <w:rsid w:val="00332E0D"/>
    <w:rsid w:val="003415D3"/>
    <w:rsid w:val="00341C87"/>
    <w:rsid w:val="00346335"/>
    <w:rsid w:val="00346364"/>
    <w:rsid w:val="003527A4"/>
    <w:rsid w:val="00352B0F"/>
    <w:rsid w:val="003561B0"/>
    <w:rsid w:val="00367960"/>
    <w:rsid w:val="003824D9"/>
    <w:rsid w:val="0039108F"/>
    <w:rsid w:val="003A15AC"/>
    <w:rsid w:val="003A56EB"/>
    <w:rsid w:val="003B0627"/>
    <w:rsid w:val="003B3EB9"/>
    <w:rsid w:val="003C5F2B"/>
    <w:rsid w:val="003D0BFE"/>
    <w:rsid w:val="003D5700"/>
    <w:rsid w:val="003F0F5A"/>
    <w:rsid w:val="00400A30"/>
    <w:rsid w:val="004022CA"/>
    <w:rsid w:val="00410E2F"/>
    <w:rsid w:val="004116CD"/>
    <w:rsid w:val="00414ADE"/>
    <w:rsid w:val="00424CA9"/>
    <w:rsid w:val="004257BB"/>
    <w:rsid w:val="004261D9"/>
    <w:rsid w:val="00440486"/>
    <w:rsid w:val="0044141E"/>
    <w:rsid w:val="0044291A"/>
    <w:rsid w:val="00454142"/>
    <w:rsid w:val="00460499"/>
    <w:rsid w:val="004618E0"/>
    <w:rsid w:val="00465099"/>
    <w:rsid w:val="00474835"/>
    <w:rsid w:val="004819C7"/>
    <w:rsid w:val="0048364F"/>
    <w:rsid w:val="00490F2E"/>
    <w:rsid w:val="00496DB3"/>
    <w:rsid w:val="00496F97"/>
    <w:rsid w:val="0049791A"/>
    <w:rsid w:val="004A1866"/>
    <w:rsid w:val="004A268C"/>
    <w:rsid w:val="004A53EA"/>
    <w:rsid w:val="004B2D37"/>
    <w:rsid w:val="004C16CD"/>
    <w:rsid w:val="004D7149"/>
    <w:rsid w:val="004F1FAC"/>
    <w:rsid w:val="004F676E"/>
    <w:rsid w:val="00503E17"/>
    <w:rsid w:val="00516B8D"/>
    <w:rsid w:val="0052686F"/>
    <w:rsid w:val="0052756C"/>
    <w:rsid w:val="00530230"/>
    <w:rsid w:val="00530CC9"/>
    <w:rsid w:val="00537FBC"/>
    <w:rsid w:val="00541D73"/>
    <w:rsid w:val="00543079"/>
    <w:rsid w:val="00543469"/>
    <w:rsid w:val="005452CC"/>
    <w:rsid w:val="00546FA3"/>
    <w:rsid w:val="005515C9"/>
    <w:rsid w:val="00554243"/>
    <w:rsid w:val="00557C7A"/>
    <w:rsid w:val="0056116D"/>
    <w:rsid w:val="00562208"/>
    <w:rsid w:val="00562A58"/>
    <w:rsid w:val="00581211"/>
    <w:rsid w:val="005840D0"/>
    <w:rsid w:val="00584811"/>
    <w:rsid w:val="00593AA6"/>
    <w:rsid w:val="00594161"/>
    <w:rsid w:val="00594749"/>
    <w:rsid w:val="005A482B"/>
    <w:rsid w:val="005B2EA1"/>
    <w:rsid w:val="005B4067"/>
    <w:rsid w:val="005C36E0"/>
    <w:rsid w:val="005C3F41"/>
    <w:rsid w:val="005D168D"/>
    <w:rsid w:val="005D5EA1"/>
    <w:rsid w:val="005D65F9"/>
    <w:rsid w:val="005E2483"/>
    <w:rsid w:val="005E61D3"/>
    <w:rsid w:val="005F7738"/>
    <w:rsid w:val="00600219"/>
    <w:rsid w:val="00613EAD"/>
    <w:rsid w:val="006158AC"/>
    <w:rsid w:val="00640402"/>
    <w:rsid w:val="00640F78"/>
    <w:rsid w:val="00643D6A"/>
    <w:rsid w:val="00646E7B"/>
    <w:rsid w:val="00655D6A"/>
    <w:rsid w:val="00656DE9"/>
    <w:rsid w:val="00677CC2"/>
    <w:rsid w:val="00682A6B"/>
    <w:rsid w:val="00685F42"/>
    <w:rsid w:val="006866A1"/>
    <w:rsid w:val="0069207B"/>
    <w:rsid w:val="006A4309"/>
    <w:rsid w:val="006A7FCC"/>
    <w:rsid w:val="006B0E55"/>
    <w:rsid w:val="006B7006"/>
    <w:rsid w:val="006C6F9C"/>
    <w:rsid w:val="006C7F8C"/>
    <w:rsid w:val="006D0D36"/>
    <w:rsid w:val="006D2EA1"/>
    <w:rsid w:val="006D7AB9"/>
    <w:rsid w:val="006F4317"/>
    <w:rsid w:val="00700B2C"/>
    <w:rsid w:val="0071100B"/>
    <w:rsid w:val="007122C7"/>
    <w:rsid w:val="00713084"/>
    <w:rsid w:val="00720FC2"/>
    <w:rsid w:val="00731E00"/>
    <w:rsid w:val="00732E9D"/>
    <w:rsid w:val="0073491A"/>
    <w:rsid w:val="007440B7"/>
    <w:rsid w:val="00747993"/>
    <w:rsid w:val="0075593B"/>
    <w:rsid w:val="007634AD"/>
    <w:rsid w:val="007715C9"/>
    <w:rsid w:val="00774EDD"/>
    <w:rsid w:val="007757EC"/>
    <w:rsid w:val="00775F9A"/>
    <w:rsid w:val="007A115D"/>
    <w:rsid w:val="007A35E6"/>
    <w:rsid w:val="007A59FE"/>
    <w:rsid w:val="007A6863"/>
    <w:rsid w:val="007B2119"/>
    <w:rsid w:val="007B3459"/>
    <w:rsid w:val="007D359A"/>
    <w:rsid w:val="007D45C1"/>
    <w:rsid w:val="007E7D4A"/>
    <w:rsid w:val="007F48ED"/>
    <w:rsid w:val="007F7947"/>
    <w:rsid w:val="00812F45"/>
    <w:rsid w:val="00812F7F"/>
    <w:rsid w:val="00816778"/>
    <w:rsid w:val="0084172C"/>
    <w:rsid w:val="00850529"/>
    <w:rsid w:val="00856A31"/>
    <w:rsid w:val="008754D0"/>
    <w:rsid w:val="00877D48"/>
    <w:rsid w:val="008816F0"/>
    <w:rsid w:val="0088345B"/>
    <w:rsid w:val="00892BC0"/>
    <w:rsid w:val="008A16A5"/>
    <w:rsid w:val="008A2425"/>
    <w:rsid w:val="008C2B5D"/>
    <w:rsid w:val="008C54F4"/>
    <w:rsid w:val="008D0EE0"/>
    <w:rsid w:val="008D5B99"/>
    <w:rsid w:val="008D7A27"/>
    <w:rsid w:val="008E4702"/>
    <w:rsid w:val="008E69AA"/>
    <w:rsid w:val="008F4F1C"/>
    <w:rsid w:val="0092140D"/>
    <w:rsid w:val="00922764"/>
    <w:rsid w:val="00932377"/>
    <w:rsid w:val="00934DF5"/>
    <w:rsid w:val="009408EA"/>
    <w:rsid w:val="00943102"/>
    <w:rsid w:val="0094523D"/>
    <w:rsid w:val="009533BA"/>
    <w:rsid w:val="009559E6"/>
    <w:rsid w:val="009573BC"/>
    <w:rsid w:val="00976A63"/>
    <w:rsid w:val="00983419"/>
    <w:rsid w:val="009C3431"/>
    <w:rsid w:val="009C5989"/>
    <w:rsid w:val="009C7384"/>
    <w:rsid w:val="009D08DA"/>
    <w:rsid w:val="009D4975"/>
    <w:rsid w:val="009E0D6D"/>
    <w:rsid w:val="009F31D7"/>
    <w:rsid w:val="009F668C"/>
    <w:rsid w:val="00A06860"/>
    <w:rsid w:val="00A136F5"/>
    <w:rsid w:val="00A17994"/>
    <w:rsid w:val="00A231E2"/>
    <w:rsid w:val="00A2550D"/>
    <w:rsid w:val="00A3196A"/>
    <w:rsid w:val="00A4169B"/>
    <w:rsid w:val="00A445F2"/>
    <w:rsid w:val="00A5008A"/>
    <w:rsid w:val="00A50D55"/>
    <w:rsid w:val="00A5165B"/>
    <w:rsid w:val="00A52FDA"/>
    <w:rsid w:val="00A60CDD"/>
    <w:rsid w:val="00A64912"/>
    <w:rsid w:val="00A70A74"/>
    <w:rsid w:val="00A717EC"/>
    <w:rsid w:val="00AA0343"/>
    <w:rsid w:val="00AA2A5C"/>
    <w:rsid w:val="00AB2741"/>
    <w:rsid w:val="00AB78E9"/>
    <w:rsid w:val="00AD3467"/>
    <w:rsid w:val="00AD5641"/>
    <w:rsid w:val="00AD7252"/>
    <w:rsid w:val="00AE0F9B"/>
    <w:rsid w:val="00AE5F74"/>
    <w:rsid w:val="00AF4A1F"/>
    <w:rsid w:val="00AF55FF"/>
    <w:rsid w:val="00B032D8"/>
    <w:rsid w:val="00B12FC5"/>
    <w:rsid w:val="00B239C0"/>
    <w:rsid w:val="00B33B3C"/>
    <w:rsid w:val="00B40D74"/>
    <w:rsid w:val="00B52663"/>
    <w:rsid w:val="00B53F36"/>
    <w:rsid w:val="00B55AB9"/>
    <w:rsid w:val="00B56DCB"/>
    <w:rsid w:val="00B56F8D"/>
    <w:rsid w:val="00B57B9D"/>
    <w:rsid w:val="00B712AE"/>
    <w:rsid w:val="00B770D2"/>
    <w:rsid w:val="00B8295A"/>
    <w:rsid w:val="00B93369"/>
    <w:rsid w:val="00B93C10"/>
    <w:rsid w:val="00BA144E"/>
    <w:rsid w:val="00BA1939"/>
    <w:rsid w:val="00BA47A3"/>
    <w:rsid w:val="00BA5026"/>
    <w:rsid w:val="00BB6E79"/>
    <w:rsid w:val="00BB77C9"/>
    <w:rsid w:val="00BD2D21"/>
    <w:rsid w:val="00BD7CE9"/>
    <w:rsid w:val="00BE1A59"/>
    <w:rsid w:val="00BE28C4"/>
    <w:rsid w:val="00BE3B31"/>
    <w:rsid w:val="00BE719A"/>
    <w:rsid w:val="00BE720A"/>
    <w:rsid w:val="00BF6650"/>
    <w:rsid w:val="00C067E5"/>
    <w:rsid w:val="00C164CA"/>
    <w:rsid w:val="00C2204E"/>
    <w:rsid w:val="00C339C6"/>
    <w:rsid w:val="00C42BF8"/>
    <w:rsid w:val="00C453FE"/>
    <w:rsid w:val="00C460AE"/>
    <w:rsid w:val="00C50043"/>
    <w:rsid w:val="00C50A0F"/>
    <w:rsid w:val="00C63B62"/>
    <w:rsid w:val="00C7573B"/>
    <w:rsid w:val="00C76CF3"/>
    <w:rsid w:val="00C91E8D"/>
    <w:rsid w:val="00C948CD"/>
    <w:rsid w:val="00CA000F"/>
    <w:rsid w:val="00CA2CFB"/>
    <w:rsid w:val="00CA626F"/>
    <w:rsid w:val="00CA7844"/>
    <w:rsid w:val="00CB58EF"/>
    <w:rsid w:val="00CB6EA6"/>
    <w:rsid w:val="00CC5239"/>
    <w:rsid w:val="00CC73C6"/>
    <w:rsid w:val="00CC7B18"/>
    <w:rsid w:val="00CD0D45"/>
    <w:rsid w:val="00CD2761"/>
    <w:rsid w:val="00CE7D64"/>
    <w:rsid w:val="00CF0BB2"/>
    <w:rsid w:val="00CF41C1"/>
    <w:rsid w:val="00CF6FE0"/>
    <w:rsid w:val="00D13441"/>
    <w:rsid w:val="00D150C5"/>
    <w:rsid w:val="00D20665"/>
    <w:rsid w:val="00D217C0"/>
    <w:rsid w:val="00D243A3"/>
    <w:rsid w:val="00D3200B"/>
    <w:rsid w:val="00D33440"/>
    <w:rsid w:val="00D349AA"/>
    <w:rsid w:val="00D43942"/>
    <w:rsid w:val="00D52EFE"/>
    <w:rsid w:val="00D56A0D"/>
    <w:rsid w:val="00D57F00"/>
    <w:rsid w:val="00D63EF6"/>
    <w:rsid w:val="00D65AB5"/>
    <w:rsid w:val="00D66518"/>
    <w:rsid w:val="00D70DFB"/>
    <w:rsid w:val="00D71EEA"/>
    <w:rsid w:val="00D735CD"/>
    <w:rsid w:val="00D766DF"/>
    <w:rsid w:val="00D818B7"/>
    <w:rsid w:val="00D8551A"/>
    <w:rsid w:val="00D9323B"/>
    <w:rsid w:val="00D95891"/>
    <w:rsid w:val="00DB5CB4"/>
    <w:rsid w:val="00DC516D"/>
    <w:rsid w:val="00DC64AA"/>
    <w:rsid w:val="00DD32AC"/>
    <w:rsid w:val="00DE149E"/>
    <w:rsid w:val="00DE1A0F"/>
    <w:rsid w:val="00DE23B5"/>
    <w:rsid w:val="00E00725"/>
    <w:rsid w:val="00E05704"/>
    <w:rsid w:val="00E12F1A"/>
    <w:rsid w:val="00E15561"/>
    <w:rsid w:val="00E21CFB"/>
    <w:rsid w:val="00E22935"/>
    <w:rsid w:val="00E47068"/>
    <w:rsid w:val="00E54292"/>
    <w:rsid w:val="00E60191"/>
    <w:rsid w:val="00E64CCB"/>
    <w:rsid w:val="00E66277"/>
    <w:rsid w:val="00E72A96"/>
    <w:rsid w:val="00E74DC7"/>
    <w:rsid w:val="00E87699"/>
    <w:rsid w:val="00E87941"/>
    <w:rsid w:val="00E92E27"/>
    <w:rsid w:val="00E9586B"/>
    <w:rsid w:val="00E97334"/>
    <w:rsid w:val="00EA0D36"/>
    <w:rsid w:val="00ED23AC"/>
    <w:rsid w:val="00ED4928"/>
    <w:rsid w:val="00EE308A"/>
    <w:rsid w:val="00EE3749"/>
    <w:rsid w:val="00EE6190"/>
    <w:rsid w:val="00EF2E3A"/>
    <w:rsid w:val="00EF4EED"/>
    <w:rsid w:val="00EF5967"/>
    <w:rsid w:val="00EF6402"/>
    <w:rsid w:val="00F0003F"/>
    <w:rsid w:val="00F025DF"/>
    <w:rsid w:val="00F02FD9"/>
    <w:rsid w:val="00F047E2"/>
    <w:rsid w:val="00F04D57"/>
    <w:rsid w:val="00F078DC"/>
    <w:rsid w:val="00F13E86"/>
    <w:rsid w:val="00F16C62"/>
    <w:rsid w:val="00F2296E"/>
    <w:rsid w:val="00F32FCB"/>
    <w:rsid w:val="00F54CFB"/>
    <w:rsid w:val="00F62F9F"/>
    <w:rsid w:val="00F6709F"/>
    <w:rsid w:val="00F677A9"/>
    <w:rsid w:val="00F723BD"/>
    <w:rsid w:val="00F732EA"/>
    <w:rsid w:val="00F8030F"/>
    <w:rsid w:val="00F825CD"/>
    <w:rsid w:val="00F84CF5"/>
    <w:rsid w:val="00F84E3A"/>
    <w:rsid w:val="00F8612E"/>
    <w:rsid w:val="00FA0C0B"/>
    <w:rsid w:val="00FA420B"/>
    <w:rsid w:val="00FC79D2"/>
    <w:rsid w:val="00FE05BE"/>
    <w:rsid w:val="00FE0781"/>
    <w:rsid w:val="00FF0392"/>
    <w:rsid w:val="00FF229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uiPriority w:val="1"/>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character" w:customStyle="1" w:styleId="paragraphChar">
    <w:name w:val="paragraph Char"/>
    <w:aliases w:val="a Char"/>
    <w:link w:val="paragraph"/>
    <w:locked/>
    <w:rsid w:val="00D349A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uiPriority w:val="1"/>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character" w:customStyle="1" w:styleId="paragraphChar">
    <w:name w:val="paragraph Char"/>
    <w:aliases w:val="a Char"/>
    <w:link w:val="paragraph"/>
    <w:locked/>
    <w:rsid w:val="00D349A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8B1F-7C40-40B6-82B6-DB78AE7C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1965</Words>
  <Characters>11207</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2020-05-14T03:26:00Z</cp:lastPrinted>
  <dcterms:created xsi:type="dcterms:W3CDTF">2020-09-22T05:32:00Z</dcterms:created>
  <dcterms:modified xsi:type="dcterms:W3CDTF">2020-09-22T05:33:00Z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Offshore Petroleum and Greenhouse Gas Storage Legislation Amendment (Cross-boundary Greenhouse Gas Storage)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September 2020</vt:lpwstr>
  </property>
  <property fmtid="{D5CDD505-2E9C-101B-9397-08002B2CF9AE}" pid="10" name="ID">
    <vt:lpwstr>OPC64306</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17 September 2020</vt:lpwstr>
  </property>
</Properties>
</file>