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894A4C" w:rsidRDefault="00FA6784" w:rsidP="00FA6784">
      <w:pPr>
        <w:pStyle w:val="H3"/>
        <w:jc w:val="center"/>
        <w:rPr>
          <w:sz w:val="24"/>
          <w:szCs w:val="24"/>
        </w:rPr>
      </w:pPr>
      <w:r w:rsidRPr="00894A4C">
        <w:rPr>
          <w:sz w:val="24"/>
          <w:szCs w:val="24"/>
        </w:rPr>
        <w:t>EXPLANATORY STATEMENT</w:t>
      </w:r>
    </w:p>
    <w:p w14:paraId="2412D122" w14:textId="77777777" w:rsidR="00FA6784" w:rsidRPr="00894A4C" w:rsidRDefault="00FA6784" w:rsidP="00FA6784">
      <w:pPr>
        <w:jc w:val="center"/>
        <w:rPr>
          <w:i/>
          <w:iCs/>
          <w:sz w:val="20"/>
        </w:rPr>
      </w:pPr>
    </w:p>
    <w:p w14:paraId="2412D123" w14:textId="77777777" w:rsidR="00FA6784" w:rsidRPr="00894A4C" w:rsidRDefault="00FA6784" w:rsidP="00FA6784">
      <w:pPr>
        <w:jc w:val="center"/>
        <w:rPr>
          <w:i/>
          <w:iCs/>
        </w:rPr>
      </w:pPr>
      <w:r w:rsidRPr="00894A4C">
        <w:rPr>
          <w:i/>
          <w:iCs/>
        </w:rPr>
        <w:t>Health Insurance Act 1973</w:t>
      </w:r>
    </w:p>
    <w:p w14:paraId="2412D124" w14:textId="77777777" w:rsidR="00A1739A" w:rsidRPr="00894A4C" w:rsidRDefault="00A1739A" w:rsidP="00A1739A">
      <w:pPr>
        <w:rPr>
          <w:szCs w:val="24"/>
          <w:u w:val="single"/>
        </w:rPr>
      </w:pPr>
    </w:p>
    <w:p w14:paraId="2838A7B4" w14:textId="72D6CCA4" w:rsidR="00FD602D" w:rsidRPr="00894A4C" w:rsidRDefault="006E0B39" w:rsidP="00961795">
      <w:pPr>
        <w:ind w:right="84"/>
        <w:jc w:val="center"/>
        <w:rPr>
          <w:szCs w:val="24"/>
        </w:rPr>
      </w:pPr>
      <w:r w:rsidRPr="00894A4C">
        <w:rPr>
          <w:i/>
          <w:iCs/>
        </w:rPr>
        <w:t>Health Insurance Legislation Amendment (Extend Cessation Date of Temporary COVID-19 Items) Determination 2020</w:t>
      </w:r>
    </w:p>
    <w:p w14:paraId="052E97C1" w14:textId="77777777" w:rsidR="00164A69" w:rsidRPr="00894A4C"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F00C07E" w:rsidR="00164A69" w:rsidRPr="00894A4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894A4C">
        <w:rPr>
          <w:shd w:val="clear" w:color="auto" w:fill="FFFFFF"/>
        </w:rPr>
        <w:t xml:space="preserve">Subsection 3C(1) of the </w:t>
      </w:r>
      <w:r w:rsidRPr="00894A4C">
        <w:rPr>
          <w:i/>
          <w:shd w:val="clear" w:color="auto" w:fill="FFFFFF"/>
        </w:rPr>
        <w:t>Health Insurance Act 1973</w:t>
      </w:r>
      <w:r w:rsidRPr="00894A4C">
        <w:rPr>
          <w:shd w:val="clear" w:color="auto" w:fill="FFFFFF"/>
        </w:rPr>
        <w:t xml:space="preserve"> (the Act) </w:t>
      </w:r>
      <w:r w:rsidR="00477C74" w:rsidRPr="00894A4C">
        <w:rPr>
          <w:shd w:val="clear" w:color="auto" w:fill="FFFFFF"/>
        </w:rPr>
        <w:t>provide</w:t>
      </w:r>
      <w:r w:rsidR="002E5708" w:rsidRPr="00894A4C">
        <w:rPr>
          <w:shd w:val="clear" w:color="auto" w:fill="FFFFFF"/>
        </w:rPr>
        <w:t>s</w:t>
      </w:r>
      <w:r w:rsidR="00477C74" w:rsidRPr="00894A4C">
        <w:rPr>
          <w:shd w:val="clear" w:color="auto" w:fill="FFFFFF"/>
        </w:rPr>
        <w:t xml:space="preserve"> that</w:t>
      </w:r>
      <w:r w:rsidRPr="00894A4C">
        <w:rPr>
          <w:shd w:val="clear" w:color="auto" w:fill="FFFFFF"/>
        </w:rPr>
        <w:t xml:space="preserve"> the Minister </w:t>
      </w:r>
      <w:r w:rsidR="00477C74" w:rsidRPr="00894A4C">
        <w:rPr>
          <w:shd w:val="clear" w:color="auto" w:fill="FFFFFF"/>
        </w:rPr>
        <w:t>may</w:t>
      </w:r>
      <w:r w:rsidRPr="00894A4C">
        <w:rPr>
          <w:shd w:val="clear" w:color="auto" w:fill="FFFFFF"/>
        </w:rPr>
        <w:t xml:space="preserve">, by legislative instrument, determine that a health service not specified in an item in the </w:t>
      </w:r>
      <w:r w:rsidR="00B22033" w:rsidRPr="00894A4C">
        <w:rPr>
          <w:shd w:val="clear" w:color="auto" w:fill="FFFFFF"/>
        </w:rPr>
        <w:t>general medical</w:t>
      </w:r>
      <w:r w:rsidRPr="00894A4C">
        <w:rPr>
          <w:shd w:val="clear" w:color="auto" w:fill="FFFFFF"/>
        </w:rPr>
        <w:t xml:space="preserve"> services table </w:t>
      </w:r>
      <w:r w:rsidR="002E7D24" w:rsidRPr="00894A4C">
        <w:rPr>
          <w:shd w:val="clear" w:color="auto" w:fill="FFFFFF"/>
        </w:rPr>
        <w:t>or the pathology services table (the t</w:t>
      </w:r>
      <w:r w:rsidR="00D01D5A" w:rsidRPr="00894A4C">
        <w:rPr>
          <w:shd w:val="clear" w:color="auto" w:fill="FFFFFF"/>
        </w:rPr>
        <w:t>able</w:t>
      </w:r>
      <w:r w:rsidR="002E7D24" w:rsidRPr="00894A4C">
        <w:rPr>
          <w:shd w:val="clear" w:color="auto" w:fill="FFFFFF"/>
        </w:rPr>
        <w:t>s</w:t>
      </w:r>
      <w:r w:rsidR="00D01D5A" w:rsidRPr="00894A4C">
        <w:rPr>
          <w:shd w:val="clear" w:color="auto" w:fill="FFFFFF"/>
        </w:rPr>
        <w:t xml:space="preserve">) </w:t>
      </w:r>
      <w:r w:rsidRPr="00894A4C">
        <w:rPr>
          <w:shd w:val="clear" w:color="auto" w:fill="FFFFFF"/>
        </w:rPr>
        <w:t xml:space="preserve">shall, in specified circumstances and for specified statutory provisions, be treated as if it were specified in the </w:t>
      </w:r>
      <w:r w:rsidR="002E7D24" w:rsidRPr="00894A4C">
        <w:rPr>
          <w:shd w:val="clear" w:color="auto" w:fill="FFFFFF"/>
        </w:rPr>
        <w:t>respective t</w:t>
      </w:r>
      <w:r w:rsidR="00D01D5A" w:rsidRPr="00894A4C">
        <w:rPr>
          <w:shd w:val="clear" w:color="auto" w:fill="FFFFFF"/>
        </w:rPr>
        <w:t xml:space="preserve">able. </w:t>
      </w:r>
      <w:r w:rsidRPr="00894A4C">
        <w:rPr>
          <w:shd w:val="clear" w:color="auto" w:fill="FFFFFF"/>
        </w:rPr>
        <w:t xml:space="preserve">  </w:t>
      </w:r>
    </w:p>
    <w:p w14:paraId="7DB18649" w14:textId="77777777" w:rsidR="00841EDA" w:rsidRPr="00894A4C"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49BDCF30" w:rsidR="00050623" w:rsidRPr="00894A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94A4C">
        <w:t xml:space="preserve">The </w:t>
      </w:r>
      <w:r w:rsidR="002E7D24" w:rsidRPr="00894A4C">
        <w:t xml:space="preserve">general medical services table </w:t>
      </w:r>
      <w:r w:rsidRPr="00894A4C">
        <w:t>is set out in the regulations made under subsection 4(1) of the Act</w:t>
      </w:r>
      <w:r w:rsidR="002E7D24" w:rsidRPr="00894A4C">
        <w:t xml:space="preserve"> and the pathology </w:t>
      </w:r>
      <w:r w:rsidR="002E7D24" w:rsidRPr="00894A4C">
        <w:rPr>
          <w:shd w:val="clear" w:color="auto" w:fill="FFFFFF"/>
        </w:rPr>
        <w:t xml:space="preserve">services table is set out in the </w:t>
      </w:r>
      <w:r w:rsidR="002E7D24" w:rsidRPr="00894A4C">
        <w:t>regulations made under subsection 4A(1) of the Act</w:t>
      </w:r>
      <w:r w:rsidRPr="00894A4C">
        <w:t>.  The most recent version of the</w:t>
      </w:r>
      <w:r w:rsidR="002E7D24" w:rsidRPr="00894A4C">
        <w:t>se</w:t>
      </w:r>
      <w:r w:rsidRPr="00894A4C">
        <w:t xml:space="preserve"> regulations </w:t>
      </w:r>
      <w:r w:rsidR="002E7D24" w:rsidRPr="00894A4C">
        <w:t>are</w:t>
      </w:r>
      <w:r w:rsidRPr="00894A4C">
        <w:t xml:space="preserve"> the </w:t>
      </w:r>
      <w:r w:rsidR="00B22033" w:rsidRPr="00894A4C">
        <w:rPr>
          <w:i/>
        </w:rPr>
        <w:t>Health Insurance (General Medical Services Table) Regulations (No. 2) 2020</w:t>
      </w:r>
      <w:r w:rsidR="002E7D24" w:rsidRPr="00894A4C">
        <w:rPr>
          <w:i/>
        </w:rPr>
        <w:t xml:space="preserve"> </w:t>
      </w:r>
      <w:r w:rsidR="002E7D24" w:rsidRPr="00894A4C">
        <w:t xml:space="preserve">and the </w:t>
      </w:r>
      <w:r w:rsidR="002E7D24" w:rsidRPr="00894A4C">
        <w:rPr>
          <w:i/>
        </w:rPr>
        <w:t>Health Insurance (Pathology Services Table) Regulations 2020</w:t>
      </w:r>
      <w:r w:rsidR="00B22033" w:rsidRPr="00894A4C">
        <w:t xml:space="preserve">. </w:t>
      </w:r>
    </w:p>
    <w:p w14:paraId="495517E5" w14:textId="77777777" w:rsidR="002E7D24" w:rsidRPr="00894A4C" w:rsidRDefault="002E7D24"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894A4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894A4C">
        <w:t xml:space="preserve">This instrument relies on subsection 33(3) of the </w:t>
      </w:r>
      <w:r w:rsidRPr="00894A4C">
        <w:rPr>
          <w:i/>
        </w:rPr>
        <w:t>Acts Interpretation Act 1901</w:t>
      </w:r>
      <w:r w:rsidRPr="00894A4C">
        <w:t xml:space="preserve"> (AIA).  Subsection 33(3) of the AIA</w:t>
      </w:r>
      <w:r w:rsidRPr="00894A4C">
        <w:rPr>
          <w:i/>
        </w:rPr>
        <w:t xml:space="preserve"> </w:t>
      </w:r>
      <w:r w:rsidRPr="00894A4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894A4C" w:rsidRDefault="008C5F1C" w:rsidP="00D33180">
      <w:pPr>
        <w:autoSpaceDE w:val="0"/>
        <w:autoSpaceDN w:val="0"/>
        <w:adjustRightInd w:val="0"/>
        <w:ind w:right="-483"/>
        <w:rPr>
          <w:szCs w:val="24"/>
        </w:rPr>
      </w:pPr>
    </w:p>
    <w:p w14:paraId="2412D12A" w14:textId="77777777" w:rsidR="00BB00BA" w:rsidRPr="00894A4C" w:rsidRDefault="00A1739A" w:rsidP="00BB00BA">
      <w:pPr>
        <w:rPr>
          <w:b/>
          <w:szCs w:val="24"/>
          <w:lang w:val="en-US" w:eastAsia="en-US"/>
        </w:rPr>
      </w:pPr>
      <w:r w:rsidRPr="00894A4C">
        <w:rPr>
          <w:b/>
          <w:szCs w:val="24"/>
          <w:lang w:val="en-US" w:eastAsia="en-US"/>
        </w:rPr>
        <w:t>Purpose</w:t>
      </w:r>
    </w:p>
    <w:p w14:paraId="207D539D" w14:textId="4A2DEFD3" w:rsidR="002C2D1F" w:rsidRPr="00894A4C" w:rsidRDefault="00B22033" w:rsidP="002C2D1F">
      <w:pPr>
        <w:ind w:right="-483"/>
        <w:rPr>
          <w:color w:val="000000"/>
        </w:rPr>
      </w:pPr>
      <w:r w:rsidRPr="00894A4C">
        <w:rPr>
          <w:color w:val="000000"/>
        </w:rPr>
        <w:t xml:space="preserve">Since </w:t>
      </w:r>
      <w:r w:rsidR="006E0B39" w:rsidRPr="00894A4C">
        <w:rPr>
          <w:color w:val="000000"/>
        </w:rPr>
        <w:t>13</w:t>
      </w:r>
      <w:r w:rsidRPr="00894A4C">
        <w:rPr>
          <w:color w:val="000000"/>
        </w:rPr>
        <w:t xml:space="preserve"> </w:t>
      </w:r>
      <w:r w:rsidR="006E0B39" w:rsidRPr="00894A4C">
        <w:rPr>
          <w:color w:val="000000"/>
        </w:rPr>
        <w:t>March</w:t>
      </w:r>
      <w:r w:rsidRPr="00894A4C">
        <w:rPr>
          <w:color w:val="000000"/>
        </w:rPr>
        <w:t xml:space="preserve"> 2020, the </w:t>
      </w:r>
      <w:r w:rsidR="002C2D1F" w:rsidRPr="00894A4C">
        <w:rPr>
          <w:color w:val="000000"/>
        </w:rPr>
        <w:t>Austral</w:t>
      </w:r>
      <w:r w:rsidR="006564C4" w:rsidRPr="00894A4C">
        <w:rPr>
          <w:color w:val="000000"/>
        </w:rPr>
        <w:t>ian Government has been providing</w:t>
      </w:r>
      <w:r w:rsidR="002C2D1F" w:rsidRPr="00894A4C">
        <w:rPr>
          <w:color w:val="000000"/>
        </w:rPr>
        <w:t xml:space="preserve"> temporary access to Medicare benefits</w:t>
      </w:r>
      <w:r w:rsidR="006564C4" w:rsidRPr="00894A4C">
        <w:rPr>
          <w:color w:val="000000"/>
        </w:rPr>
        <w:t xml:space="preserve"> for certain medical services to protect Australians during the coronavirus (COVID-19) pandemic.</w:t>
      </w:r>
    </w:p>
    <w:p w14:paraId="5520F110" w14:textId="77777777" w:rsidR="002C2D1F" w:rsidRPr="00894A4C" w:rsidRDefault="002C2D1F" w:rsidP="002C2D1F">
      <w:pPr>
        <w:ind w:right="-483"/>
        <w:rPr>
          <w:color w:val="000000"/>
        </w:rPr>
      </w:pPr>
    </w:p>
    <w:p w14:paraId="67F7A171" w14:textId="4E3A611A" w:rsidR="002C2D1F" w:rsidRPr="00894A4C" w:rsidRDefault="006564C4" w:rsidP="002C2D1F">
      <w:pPr>
        <w:ind w:right="-483"/>
        <w:rPr>
          <w:color w:val="000000"/>
        </w:rPr>
      </w:pPr>
      <w:r w:rsidRPr="00894A4C">
        <w:rPr>
          <w:color w:val="000000"/>
        </w:rPr>
        <w:t>This includes</w:t>
      </w:r>
      <w:r w:rsidR="00B22033" w:rsidRPr="00894A4C">
        <w:rPr>
          <w:color w:val="000000"/>
        </w:rPr>
        <w:t xml:space="preserve"> providing</w:t>
      </w:r>
      <w:r w:rsidR="002C2D1F" w:rsidRPr="00894A4C">
        <w:rPr>
          <w:color w:val="000000"/>
        </w:rPr>
        <w:t xml:space="preserve"> </w:t>
      </w:r>
      <w:r w:rsidR="00B22033" w:rsidRPr="00894A4C">
        <w:rPr>
          <w:color w:val="000000"/>
        </w:rPr>
        <w:t xml:space="preserve">Medicare benefits </w:t>
      </w:r>
      <w:r w:rsidR="006E0B39" w:rsidRPr="00894A4C">
        <w:rPr>
          <w:color w:val="000000"/>
        </w:rPr>
        <w:t>for temporary remote service options to enable patients</w:t>
      </w:r>
      <w:r w:rsidR="002C2D1F" w:rsidRPr="00894A4C">
        <w:rPr>
          <w:color w:val="000000"/>
        </w:rPr>
        <w:t xml:space="preserve"> to access telehealth and phone consultation services. These services can be provided by general practitioner</w:t>
      </w:r>
      <w:r w:rsidR="002E7D24" w:rsidRPr="00894A4C">
        <w:rPr>
          <w:color w:val="000000"/>
        </w:rPr>
        <w:t>s</w:t>
      </w:r>
      <w:r w:rsidR="002C2D1F" w:rsidRPr="00894A4C">
        <w:rPr>
          <w:color w:val="000000"/>
        </w:rPr>
        <w:t xml:space="preserve"> (GPs), other doctors in general practice, specialists, consultant physicians, nurse practitioners and allied health professionals.</w:t>
      </w:r>
    </w:p>
    <w:p w14:paraId="4EC55576" w14:textId="77777777" w:rsidR="002C2D1F" w:rsidRPr="00894A4C" w:rsidRDefault="002C2D1F" w:rsidP="002C2D1F">
      <w:pPr>
        <w:ind w:right="-483"/>
        <w:rPr>
          <w:color w:val="000000"/>
        </w:rPr>
      </w:pPr>
    </w:p>
    <w:p w14:paraId="1AC721F7" w14:textId="4E69F68A" w:rsidR="006564C4" w:rsidRPr="00894A4C" w:rsidRDefault="002C2D1F" w:rsidP="002C2D1F">
      <w:pPr>
        <w:ind w:right="-483"/>
        <w:rPr>
          <w:color w:val="000000"/>
        </w:rPr>
      </w:pPr>
      <w:r w:rsidRPr="00894A4C">
        <w:rPr>
          <w:color w:val="000000"/>
        </w:rPr>
        <w:t xml:space="preserve">The Government </w:t>
      </w:r>
      <w:r w:rsidR="002E7D24" w:rsidRPr="00894A4C">
        <w:rPr>
          <w:color w:val="000000"/>
        </w:rPr>
        <w:t>is also providing</w:t>
      </w:r>
      <w:r w:rsidRPr="00894A4C">
        <w:rPr>
          <w:color w:val="000000"/>
        </w:rPr>
        <w:t xml:space="preserve"> Medicare benefits for severe acute respiratory syndrome coronavirus 2 (SARS-CoV-2) pathology testing, commonly known as COVID-19, to </w:t>
      </w:r>
      <w:r w:rsidR="002E7D24" w:rsidRPr="00894A4C">
        <w:rPr>
          <w:color w:val="000000"/>
        </w:rPr>
        <w:t>en</w:t>
      </w:r>
      <w:r w:rsidRPr="00894A4C">
        <w:rPr>
          <w:color w:val="000000"/>
        </w:rPr>
        <w:t>sure adequate capacity to provide accessible and rapid laboratory testing.</w:t>
      </w:r>
      <w:r w:rsidR="007930FA" w:rsidRPr="00894A4C">
        <w:rPr>
          <w:color w:val="000000"/>
        </w:rPr>
        <w:t xml:space="preserve"> The SARS-CoV-2 test is available for persons who may have contracted COVID-19 and for screening essential workers in the Victorian aged care sector and interstate heavy vehicle drivers.</w:t>
      </w:r>
    </w:p>
    <w:p w14:paraId="26C6968A" w14:textId="77777777" w:rsidR="006564C4" w:rsidRPr="00894A4C" w:rsidRDefault="006564C4" w:rsidP="002C2D1F">
      <w:pPr>
        <w:ind w:right="-483"/>
        <w:rPr>
          <w:color w:val="000000"/>
        </w:rPr>
      </w:pPr>
    </w:p>
    <w:p w14:paraId="33BB9FBA" w14:textId="4E6343B6" w:rsidR="00736ACF" w:rsidRPr="00894A4C" w:rsidRDefault="00736ACF" w:rsidP="002C2D1F">
      <w:pPr>
        <w:ind w:right="-483"/>
        <w:rPr>
          <w:color w:val="000000"/>
        </w:rPr>
      </w:pPr>
      <w:r w:rsidRPr="00894A4C">
        <w:rPr>
          <w:color w:val="000000"/>
        </w:rPr>
        <w:t xml:space="preserve">The temporary items are due to cease on 30 September 2020. The purpose of the </w:t>
      </w:r>
      <w:r w:rsidRPr="00894A4C">
        <w:rPr>
          <w:i/>
          <w:color w:val="000000"/>
        </w:rPr>
        <w:t xml:space="preserve">Health Insurance Legislation Amendment (Extend Cessation Date of Temporary COVID-19 Items) Determination 2020 </w:t>
      </w:r>
      <w:r w:rsidRPr="00894A4C">
        <w:rPr>
          <w:color w:val="000000"/>
        </w:rPr>
        <w:t xml:space="preserve">is to extend the </w:t>
      </w:r>
      <w:r w:rsidR="007C64B3" w:rsidRPr="00894A4C">
        <w:rPr>
          <w:color w:val="000000"/>
        </w:rPr>
        <w:t xml:space="preserve">availability of the items for six months until 31 March 2021. This extension accords with </w:t>
      </w:r>
      <w:r w:rsidR="00FC7A29" w:rsidRPr="00894A4C">
        <w:rPr>
          <w:color w:val="000000"/>
        </w:rPr>
        <w:t xml:space="preserve">the </w:t>
      </w:r>
      <w:r w:rsidR="007C64B3" w:rsidRPr="00894A4C">
        <w:rPr>
          <w:color w:val="000000"/>
        </w:rPr>
        <w:t xml:space="preserve">advice of the Australian Health Protection Principal Committee </w:t>
      </w:r>
      <w:r w:rsidR="002E7D24" w:rsidRPr="00894A4C">
        <w:rPr>
          <w:color w:val="000000"/>
        </w:rPr>
        <w:t>which recommended</w:t>
      </w:r>
      <w:r w:rsidR="002C13ED" w:rsidRPr="00894A4C">
        <w:rPr>
          <w:color w:val="000000"/>
        </w:rPr>
        <w:t xml:space="preserve"> an extension of the</w:t>
      </w:r>
      <w:r w:rsidR="007C64B3" w:rsidRPr="00894A4C">
        <w:rPr>
          <w:color w:val="000000"/>
        </w:rPr>
        <w:t xml:space="preserve"> temporary</w:t>
      </w:r>
      <w:r w:rsidR="002E7D24" w:rsidRPr="00894A4C">
        <w:rPr>
          <w:color w:val="000000"/>
        </w:rPr>
        <w:t xml:space="preserve"> access to </w:t>
      </w:r>
      <w:r w:rsidR="002C13ED" w:rsidRPr="00894A4C">
        <w:rPr>
          <w:color w:val="000000"/>
        </w:rPr>
        <w:t>Medicare benefits for</w:t>
      </w:r>
      <w:r w:rsidR="007C64B3" w:rsidRPr="00894A4C">
        <w:rPr>
          <w:color w:val="000000"/>
        </w:rPr>
        <w:t xml:space="preserve"> telehealth</w:t>
      </w:r>
      <w:r w:rsidR="002C13ED" w:rsidRPr="00894A4C">
        <w:rPr>
          <w:color w:val="000000"/>
        </w:rPr>
        <w:t xml:space="preserve"> and phone</w:t>
      </w:r>
      <w:r w:rsidR="007C64B3" w:rsidRPr="00894A4C">
        <w:rPr>
          <w:color w:val="000000"/>
        </w:rPr>
        <w:t xml:space="preserve"> </w:t>
      </w:r>
      <w:r w:rsidR="002C13ED" w:rsidRPr="00894A4C">
        <w:rPr>
          <w:color w:val="000000"/>
        </w:rPr>
        <w:t xml:space="preserve">consultation </w:t>
      </w:r>
      <w:r w:rsidR="007C64B3" w:rsidRPr="00894A4C">
        <w:rPr>
          <w:color w:val="000000"/>
        </w:rPr>
        <w:t>items and specific COVID-19 pathology testing items</w:t>
      </w:r>
      <w:r w:rsidR="002E7D24" w:rsidRPr="00894A4C">
        <w:rPr>
          <w:color w:val="000000"/>
        </w:rPr>
        <w:t xml:space="preserve"> </w:t>
      </w:r>
      <w:r w:rsidR="007C64B3" w:rsidRPr="00894A4C">
        <w:rPr>
          <w:color w:val="000000"/>
        </w:rPr>
        <w:t xml:space="preserve">to </w:t>
      </w:r>
      <w:r w:rsidR="00527F0C" w:rsidRPr="00894A4C">
        <w:rPr>
          <w:color w:val="000000"/>
        </w:rPr>
        <w:t>support</w:t>
      </w:r>
      <w:r w:rsidR="007C64B3" w:rsidRPr="00894A4C">
        <w:rPr>
          <w:color w:val="000000"/>
        </w:rPr>
        <w:t xml:space="preserve"> quarantine and infection control measures.</w:t>
      </w:r>
    </w:p>
    <w:p w14:paraId="187A23CF" w14:textId="2592AA58" w:rsidR="003F1ABA" w:rsidRPr="00894A4C" w:rsidRDefault="003F1ABA" w:rsidP="002C2D1F">
      <w:pPr>
        <w:ind w:right="-483"/>
        <w:rPr>
          <w:color w:val="000000"/>
        </w:rPr>
      </w:pPr>
    </w:p>
    <w:p w14:paraId="6C91A744" w14:textId="0EE91B58" w:rsidR="007930FA" w:rsidRPr="00894A4C" w:rsidRDefault="007930FA" w:rsidP="002C2D1F">
      <w:pPr>
        <w:ind w:right="-483"/>
        <w:rPr>
          <w:color w:val="000000"/>
        </w:rPr>
      </w:pPr>
      <w:r w:rsidRPr="00894A4C">
        <w:rPr>
          <w:color w:val="000000"/>
        </w:rPr>
        <w:lastRenderedPageBreak/>
        <w:t>The Determination will also make two policy changes from the existing arrangements:</w:t>
      </w:r>
    </w:p>
    <w:p w14:paraId="2BEA2742" w14:textId="7B881B8E" w:rsidR="007930FA" w:rsidRPr="00894A4C" w:rsidRDefault="007930FA" w:rsidP="004E1464">
      <w:pPr>
        <w:pStyle w:val="ListParagraph"/>
        <w:numPr>
          <w:ilvl w:val="0"/>
          <w:numId w:val="38"/>
        </w:numPr>
        <w:ind w:right="-483"/>
        <w:rPr>
          <w:color w:val="000000"/>
        </w:rPr>
      </w:pPr>
      <w:r w:rsidRPr="00894A4C">
        <w:rPr>
          <w:color w:val="000000"/>
        </w:rPr>
        <w:t xml:space="preserve">The SARS-COV-2 </w:t>
      </w:r>
      <w:r w:rsidR="004602A2" w:rsidRPr="00894A4C">
        <w:rPr>
          <w:color w:val="000000"/>
        </w:rPr>
        <w:t xml:space="preserve">pathology </w:t>
      </w:r>
      <w:r w:rsidRPr="00894A4C">
        <w:rPr>
          <w:color w:val="000000"/>
        </w:rPr>
        <w:t xml:space="preserve">testing item for essential workers will be expanded to include </w:t>
      </w:r>
      <w:r w:rsidR="004E1464" w:rsidRPr="00894A4C">
        <w:rPr>
          <w:color w:val="000000"/>
        </w:rPr>
        <w:t>people who travel interstate as a rail crew member. This amendment will take effect upon commencement of the Determination.</w:t>
      </w:r>
    </w:p>
    <w:p w14:paraId="17457D1A" w14:textId="13F0E25C" w:rsidR="001C1B1A" w:rsidRPr="00894A4C" w:rsidRDefault="004E1464" w:rsidP="001C1B1A">
      <w:pPr>
        <w:pStyle w:val="ListParagraph"/>
        <w:numPr>
          <w:ilvl w:val="0"/>
          <w:numId w:val="38"/>
        </w:numPr>
        <w:ind w:right="-483"/>
        <w:rPr>
          <w:color w:val="000000"/>
        </w:rPr>
      </w:pPr>
      <w:r w:rsidRPr="00894A4C">
        <w:rPr>
          <w:color w:val="000000"/>
        </w:rPr>
        <w:t xml:space="preserve">The telehealth and phone consultation services provided by GPs and other doctors in general practice will be amended to remove the requirement </w:t>
      </w:r>
      <w:r w:rsidR="001C1B1A" w:rsidRPr="00894A4C">
        <w:rPr>
          <w:color w:val="000000"/>
        </w:rPr>
        <w:t xml:space="preserve">to bulk-bill attendances for certain patients. When the amendment takes effect on 1 October 2020, these doctors will be able to choose to bulk-bill or patient bill any </w:t>
      </w:r>
      <w:r w:rsidR="009C6248" w:rsidRPr="00894A4C">
        <w:rPr>
          <w:color w:val="000000"/>
        </w:rPr>
        <w:t xml:space="preserve">temporary COVID-19 telehealth and phone </w:t>
      </w:r>
      <w:r w:rsidR="001C1B1A" w:rsidRPr="00894A4C">
        <w:rPr>
          <w:color w:val="000000"/>
        </w:rPr>
        <w:t>attendance service</w:t>
      </w:r>
      <w:r w:rsidR="009C6248" w:rsidRPr="00894A4C">
        <w:rPr>
          <w:color w:val="000000"/>
        </w:rPr>
        <w:t>.</w:t>
      </w:r>
    </w:p>
    <w:p w14:paraId="11D361E4" w14:textId="76C380F7" w:rsidR="008719D1" w:rsidRPr="00894A4C" w:rsidRDefault="008719D1" w:rsidP="009C6248">
      <w:pPr>
        <w:ind w:left="360" w:right="-483"/>
        <w:rPr>
          <w:color w:val="000000"/>
        </w:rPr>
      </w:pPr>
    </w:p>
    <w:p w14:paraId="2412D131" w14:textId="4A800329" w:rsidR="001865F8" w:rsidRPr="00894A4C" w:rsidRDefault="00A1739A" w:rsidP="0080293E">
      <w:pPr>
        <w:shd w:val="clear" w:color="auto" w:fill="FFFFFF"/>
        <w:ind w:right="84"/>
        <w:rPr>
          <w:rFonts w:ascii="Helvetica Neue" w:hAnsi="Helvetica Neue"/>
          <w:szCs w:val="24"/>
          <w:lang w:val="en-US"/>
        </w:rPr>
      </w:pPr>
      <w:r w:rsidRPr="00894A4C">
        <w:rPr>
          <w:b/>
        </w:rPr>
        <w:t>Consultation</w:t>
      </w:r>
    </w:p>
    <w:p w14:paraId="4DF08AD4" w14:textId="77777777" w:rsidR="009C6248" w:rsidRPr="00894A4C" w:rsidRDefault="009C6248" w:rsidP="002806A1">
      <w:pPr>
        <w:shd w:val="clear" w:color="auto" w:fill="FFFFFF"/>
        <w:rPr>
          <w:color w:val="000000"/>
          <w:shd w:val="clear" w:color="auto" w:fill="FFFFFF"/>
        </w:rPr>
      </w:pPr>
      <w:r w:rsidRPr="00894A4C">
        <w:rPr>
          <w:color w:val="000000"/>
          <w:shd w:val="clear" w:color="auto" w:fill="FFFFFF"/>
        </w:rPr>
        <w:t>As part of its health care package to protect all Australians from COVID-19, the Australian Government is consulting broadly with the medical sector.</w:t>
      </w:r>
    </w:p>
    <w:p w14:paraId="042B5945" w14:textId="77777777" w:rsidR="009C6248" w:rsidRPr="00894A4C" w:rsidRDefault="009C6248" w:rsidP="002806A1">
      <w:pPr>
        <w:shd w:val="clear" w:color="auto" w:fill="FFFFFF"/>
        <w:rPr>
          <w:color w:val="000000"/>
          <w:shd w:val="clear" w:color="auto" w:fill="FFFFFF"/>
        </w:rPr>
      </w:pPr>
    </w:p>
    <w:p w14:paraId="59A3061F" w14:textId="0BAB3B2D" w:rsidR="009C6248" w:rsidRPr="00894A4C" w:rsidRDefault="00FC7A29" w:rsidP="002806A1">
      <w:pPr>
        <w:shd w:val="clear" w:color="auto" w:fill="FFFFFF"/>
        <w:rPr>
          <w:color w:val="000000"/>
          <w:shd w:val="clear" w:color="auto" w:fill="FFFFFF"/>
        </w:rPr>
      </w:pPr>
      <w:r w:rsidRPr="00894A4C">
        <w:rPr>
          <w:color w:val="000000"/>
          <w:shd w:val="clear" w:color="auto" w:fill="FFFFFF"/>
        </w:rPr>
        <w:t>Targeted c</w:t>
      </w:r>
      <w:r w:rsidR="009C6248" w:rsidRPr="00894A4C">
        <w:rPr>
          <w:color w:val="000000"/>
          <w:shd w:val="clear" w:color="auto" w:fill="FFFFFF"/>
        </w:rPr>
        <w:t xml:space="preserve">onsultation has been undertaken on </w:t>
      </w:r>
      <w:r w:rsidR="00CB31C9" w:rsidRPr="00894A4C">
        <w:rPr>
          <w:color w:val="000000"/>
          <w:shd w:val="clear" w:color="auto" w:fill="FFFFFF"/>
        </w:rPr>
        <w:t xml:space="preserve">extending the availability of the COVID-19 Medicare benefit items and on </w:t>
      </w:r>
      <w:r w:rsidR="009C6248" w:rsidRPr="00894A4C">
        <w:rPr>
          <w:color w:val="000000"/>
          <w:shd w:val="clear" w:color="auto" w:fill="FFFFFF"/>
        </w:rPr>
        <w:t xml:space="preserve">removing the mandatory requirement </w:t>
      </w:r>
      <w:r w:rsidR="004602A2" w:rsidRPr="00894A4C">
        <w:rPr>
          <w:color w:val="000000"/>
          <w:shd w:val="clear" w:color="auto" w:fill="FFFFFF"/>
        </w:rPr>
        <w:t>to</w:t>
      </w:r>
      <w:r w:rsidR="009C6248" w:rsidRPr="00894A4C">
        <w:rPr>
          <w:color w:val="000000"/>
          <w:shd w:val="clear" w:color="auto" w:fill="FFFFFF"/>
        </w:rPr>
        <w:t xml:space="preserve"> </w:t>
      </w:r>
      <w:r w:rsidR="004602A2" w:rsidRPr="00894A4C">
        <w:rPr>
          <w:color w:val="000000"/>
          <w:shd w:val="clear" w:color="auto" w:fill="FFFFFF"/>
        </w:rPr>
        <w:t>bulk-bill</w:t>
      </w:r>
      <w:r w:rsidR="009C6248" w:rsidRPr="00894A4C">
        <w:rPr>
          <w:color w:val="000000"/>
          <w:shd w:val="clear" w:color="auto" w:fill="FFFFFF"/>
        </w:rPr>
        <w:t xml:space="preserve"> certain </w:t>
      </w:r>
      <w:r w:rsidR="009C6248" w:rsidRPr="00894A4C">
        <w:rPr>
          <w:color w:val="000000"/>
        </w:rPr>
        <w:t>telehealth and phone consultation services provided by GPs</w:t>
      </w:r>
      <w:r w:rsidR="004602A2" w:rsidRPr="00894A4C">
        <w:rPr>
          <w:color w:val="000000"/>
        </w:rPr>
        <w:t xml:space="preserve"> and other doctors in general practice</w:t>
      </w:r>
      <w:r w:rsidR="009C6248" w:rsidRPr="00894A4C">
        <w:rPr>
          <w:color w:val="000000"/>
          <w:shd w:val="clear" w:color="auto" w:fill="FFFFFF"/>
        </w:rPr>
        <w:t xml:space="preserve"> with the Australian Medical Association, the Royal Australian College of General Practitioners, the Australian College of Rural and Remote Medicine and the Rural Doctors Association of Australia.</w:t>
      </w:r>
    </w:p>
    <w:p w14:paraId="4421AD6A" w14:textId="77777777" w:rsidR="0080293E" w:rsidRPr="00894A4C" w:rsidRDefault="0080293E" w:rsidP="002806A1">
      <w:pPr>
        <w:shd w:val="clear" w:color="auto" w:fill="FFFFFF"/>
        <w:rPr>
          <w:color w:val="000000"/>
          <w:szCs w:val="24"/>
        </w:rPr>
      </w:pPr>
    </w:p>
    <w:p w14:paraId="2412D134" w14:textId="2BA9468A" w:rsidR="00967E51" w:rsidRPr="00894A4C" w:rsidRDefault="00A1739A" w:rsidP="000337CB">
      <w:pPr>
        <w:rPr>
          <w:szCs w:val="24"/>
        </w:rPr>
      </w:pPr>
      <w:r w:rsidRPr="00894A4C">
        <w:rPr>
          <w:szCs w:val="24"/>
        </w:rPr>
        <w:t xml:space="preserve">Details of the </w:t>
      </w:r>
      <w:r w:rsidR="00574E71" w:rsidRPr="00894A4C">
        <w:rPr>
          <w:szCs w:val="24"/>
        </w:rPr>
        <w:t>Determination</w:t>
      </w:r>
      <w:r w:rsidRPr="00894A4C">
        <w:rPr>
          <w:szCs w:val="24"/>
        </w:rPr>
        <w:t xml:space="preserve"> are set out in the </w:t>
      </w:r>
      <w:r w:rsidRPr="00894A4C">
        <w:rPr>
          <w:szCs w:val="24"/>
          <w:u w:val="single"/>
        </w:rPr>
        <w:t>Attachment</w:t>
      </w:r>
      <w:r w:rsidRPr="00894A4C">
        <w:rPr>
          <w:szCs w:val="24"/>
        </w:rPr>
        <w:t>.</w:t>
      </w:r>
    </w:p>
    <w:p w14:paraId="2412D135" w14:textId="5A88EAAF" w:rsidR="006C138D" w:rsidRPr="00894A4C" w:rsidRDefault="00297AD0" w:rsidP="006C138D">
      <w:pPr>
        <w:tabs>
          <w:tab w:val="left" w:pos="567"/>
        </w:tabs>
        <w:spacing w:before="240"/>
        <w:rPr>
          <w:szCs w:val="24"/>
        </w:rPr>
      </w:pPr>
      <w:r w:rsidRPr="00894A4C">
        <w:rPr>
          <w:szCs w:val="24"/>
        </w:rPr>
        <w:t xml:space="preserve">The </w:t>
      </w:r>
      <w:r w:rsidR="00967E51" w:rsidRPr="00894A4C">
        <w:rPr>
          <w:szCs w:val="24"/>
        </w:rPr>
        <w:t>Determination</w:t>
      </w:r>
      <w:r w:rsidRPr="00894A4C">
        <w:rPr>
          <w:szCs w:val="24"/>
        </w:rPr>
        <w:t xml:space="preserve"> </w:t>
      </w:r>
      <w:r w:rsidR="007524B0" w:rsidRPr="00894A4C">
        <w:rPr>
          <w:szCs w:val="24"/>
        </w:rPr>
        <w:t xml:space="preserve">commences </w:t>
      </w:r>
      <w:r w:rsidR="003F1ABA" w:rsidRPr="00894A4C">
        <w:rPr>
          <w:szCs w:val="24"/>
        </w:rPr>
        <w:t>the day after this instrument is registered. The amendments in Schedule 2 commence on 1 October 2020.</w:t>
      </w:r>
    </w:p>
    <w:p w14:paraId="2412D136" w14:textId="77777777" w:rsidR="00236DF2" w:rsidRPr="00894A4C" w:rsidRDefault="00236DF2" w:rsidP="00574E71">
      <w:pPr>
        <w:rPr>
          <w:szCs w:val="24"/>
        </w:rPr>
      </w:pPr>
    </w:p>
    <w:p w14:paraId="2412D138" w14:textId="4C0C6543" w:rsidR="00574E71" w:rsidRPr="00894A4C" w:rsidRDefault="0002728B" w:rsidP="00DE07E4">
      <w:pPr>
        <w:spacing w:after="200" w:line="276" w:lineRule="auto"/>
        <w:rPr>
          <w:szCs w:val="24"/>
        </w:rPr>
      </w:pPr>
      <w:r w:rsidRPr="00894A4C">
        <w:rPr>
          <w:szCs w:val="24"/>
        </w:rPr>
        <w:t>T</w:t>
      </w:r>
      <w:r w:rsidR="00574E71" w:rsidRPr="00894A4C">
        <w:rPr>
          <w:szCs w:val="24"/>
        </w:rPr>
        <w:t xml:space="preserve">he Determination is </w:t>
      </w:r>
      <w:r w:rsidR="004417A2" w:rsidRPr="00894A4C">
        <w:rPr>
          <w:szCs w:val="24"/>
        </w:rPr>
        <w:t xml:space="preserve">a </w:t>
      </w:r>
      <w:r w:rsidR="00574E71" w:rsidRPr="00894A4C">
        <w:rPr>
          <w:szCs w:val="24"/>
        </w:rPr>
        <w:t xml:space="preserve">legislative instrument for the purposes of the </w:t>
      </w:r>
      <w:r w:rsidR="00574E71" w:rsidRPr="00894A4C">
        <w:rPr>
          <w:i/>
        </w:rPr>
        <w:t>Legislation Act 2003</w:t>
      </w:r>
      <w:r w:rsidR="00574E71" w:rsidRPr="00894A4C">
        <w:rPr>
          <w:szCs w:val="24"/>
        </w:rPr>
        <w:t>.</w:t>
      </w:r>
    </w:p>
    <w:p w14:paraId="2412D139" w14:textId="77777777" w:rsidR="00A1739A" w:rsidRPr="00894A4C" w:rsidRDefault="00A1739A" w:rsidP="000337CB">
      <w:pPr>
        <w:ind w:left="6663" w:hanging="3119"/>
        <w:rPr>
          <w:szCs w:val="24"/>
        </w:rPr>
      </w:pPr>
      <w:r w:rsidRPr="00894A4C">
        <w:rPr>
          <w:szCs w:val="24"/>
        </w:rPr>
        <w:t xml:space="preserve">           </w:t>
      </w:r>
    </w:p>
    <w:p w14:paraId="2412D13A" w14:textId="77777777" w:rsidR="00A1739A" w:rsidRPr="00894A4C" w:rsidRDefault="00A1739A" w:rsidP="000337CB">
      <w:pPr>
        <w:ind w:left="6663" w:hanging="3119"/>
        <w:rPr>
          <w:szCs w:val="24"/>
        </w:rPr>
      </w:pPr>
      <w:r w:rsidRPr="00894A4C">
        <w:rPr>
          <w:szCs w:val="24"/>
          <w:u w:val="single"/>
        </w:rPr>
        <w:t>Authority</w:t>
      </w:r>
      <w:r w:rsidR="00967E51" w:rsidRPr="00894A4C">
        <w:rPr>
          <w:szCs w:val="24"/>
        </w:rPr>
        <w:t xml:space="preserve">:     Subsection </w:t>
      </w:r>
      <w:r w:rsidRPr="00894A4C">
        <w:rPr>
          <w:szCs w:val="24"/>
        </w:rPr>
        <w:t>3</w:t>
      </w:r>
      <w:r w:rsidR="00967E51" w:rsidRPr="00894A4C">
        <w:rPr>
          <w:szCs w:val="24"/>
        </w:rPr>
        <w:t>C</w:t>
      </w:r>
      <w:r w:rsidRPr="00894A4C">
        <w:rPr>
          <w:szCs w:val="24"/>
        </w:rPr>
        <w:t xml:space="preserve">(1) of the </w:t>
      </w:r>
    </w:p>
    <w:p w14:paraId="2412D13B" w14:textId="0596CD30" w:rsidR="00A1739A" w:rsidRPr="00894A4C" w:rsidRDefault="00A1739A" w:rsidP="000337CB">
      <w:pPr>
        <w:tabs>
          <w:tab w:val="left" w:pos="4820"/>
        </w:tabs>
        <w:rPr>
          <w:szCs w:val="24"/>
        </w:rPr>
        <w:sectPr w:rsidR="00A1739A" w:rsidRPr="00894A4C" w:rsidSect="00235B6C">
          <w:headerReference w:type="default" r:id="rId11"/>
          <w:pgSz w:w="11906" w:h="16838"/>
          <w:pgMar w:top="1440" w:right="1800" w:bottom="1135" w:left="1800" w:header="708" w:footer="708" w:gutter="0"/>
          <w:pgNumType w:start="1"/>
          <w:cols w:space="708"/>
          <w:docGrid w:linePitch="360"/>
        </w:sectPr>
      </w:pPr>
      <w:r w:rsidRPr="00894A4C">
        <w:rPr>
          <w:i/>
          <w:szCs w:val="24"/>
        </w:rPr>
        <w:tab/>
        <w:t>Health Insurance Act 1973</w:t>
      </w:r>
    </w:p>
    <w:p w14:paraId="2412D13D" w14:textId="77777777" w:rsidR="006D5816" w:rsidRPr="00894A4C" w:rsidRDefault="006D5816" w:rsidP="000337CB">
      <w:pPr>
        <w:pStyle w:val="BodyText"/>
        <w:jc w:val="right"/>
        <w:rPr>
          <w:szCs w:val="24"/>
        </w:rPr>
      </w:pPr>
      <w:r w:rsidRPr="00894A4C">
        <w:rPr>
          <w:szCs w:val="24"/>
        </w:rPr>
        <w:lastRenderedPageBreak/>
        <w:t>ATTACHMENT</w:t>
      </w:r>
    </w:p>
    <w:p w14:paraId="2412D13E" w14:textId="77777777" w:rsidR="006D5816" w:rsidRPr="00894A4C" w:rsidRDefault="006D5816" w:rsidP="000337CB">
      <w:pPr>
        <w:pStyle w:val="BodyText"/>
        <w:rPr>
          <w:szCs w:val="24"/>
          <w:u w:val="single"/>
        </w:rPr>
      </w:pPr>
    </w:p>
    <w:p w14:paraId="5B0C808A" w14:textId="7E4C629E" w:rsidR="00215191" w:rsidRPr="00894A4C" w:rsidRDefault="00A41364" w:rsidP="00186752">
      <w:pPr>
        <w:pStyle w:val="BodyText"/>
        <w:rPr>
          <w:i/>
          <w:iCs/>
        </w:rPr>
      </w:pPr>
      <w:r w:rsidRPr="00894A4C">
        <w:rPr>
          <w:szCs w:val="24"/>
        </w:rPr>
        <w:t xml:space="preserve">Details of the </w:t>
      </w:r>
      <w:r w:rsidR="002D45AB" w:rsidRPr="00894A4C">
        <w:rPr>
          <w:i/>
          <w:iCs/>
        </w:rPr>
        <w:t>Health Insurance Legislation Amendment (Extend Cessation Date of Temporary COVID-19 Items) Determination 2020</w:t>
      </w:r>
    </w:p>
    <w:p w14:paraId="7BBEB147" w14:textId="720F9678" w:rsidR="00E70355" w:rsidRPr="00894A4C" w:rsidRDefault="00E70355" w:rsidP="000337CB">
      <w:pPr>
        <w:pStyle w:val="BodyText"/>
        <w:rPr>
          <w:b w:val="0"/>
          <w:i/>
          <w:szCs w:val="24"/>
        </w:rPr>
      </w:pPr>
    </w:p>
    <w:p w14:paraId="2412D141" w14:textId="7C34D5F4" w:rsidR="00FE02C2" w:rsidRPr="00894A4C" w:rsidRDefault="001B0111" w:rsidP="000337CB">
      <w:pPr>
        <w:pStyle w:val="BodyText"/>
        <w:rPr>
          <w:b w:val="0"/>
          <w:szCs w:val="24"/>
          <w:u w:val="single"/>
        </w:rPr>
      </w:pPr>
      <w:r w:rsidRPr="00894A4C">
        <w:rPr>
          <w:b w:val="0"/>
          <w:szCs w:val="24"/>
          <w:u w:val="single"/>
        </w:rPr>
        <w:t>Section 1 – Name</w:t>
      </w:r>
    </w:p>
    <w:p w14:paraId="2412D142" w14:textId="77777777" w:rsidR="00FE02C2" w:rsidRPr="00894A4C" w:rsidRDefault="00FE02C2" w:rsidP="000337CB">
      <w:pPr>
        <w:pStyle w:val="BodyText"/>
        <w:rPr>
          <w:b w:val="0"/>
          <w:szCs w:val="24"/>
          <w:u w:val="single"/>
        </w:rPr>
      </w:pPr>
    </w:p>
    <w:p w14:paraId="2412D144" w14:textId="701049AB" w:rsidR="00F83B6F" w:rsidRPr="00894A4C" w:rsidRDefault="00BC7397" w:rsidP="00C67BC7">
      <w:pPr>
        <w:pStyle w:val="BodyText"/>
        <w:rPr>
          <w:iCs/>
        </w:rPr>
      </w:pPr>
      <w:r w:rsidRPr="00894A4C">
        <w:rPr>
          <w:b w:val="0"/>
          <w:szCs w:val="24"/>
        </w:rPr>
        <w:t>S</w:t>
      </w:r>
      <w:r w:rsidR="00FE02C2" w:rsidRPr="00894A4C">
        <w:rPr>
          <w:b w:val="0"/>
          <w:szCs w:val="24"/>
        </w:rPr>
        <w:t xml:space="preserve">ection </w:t>
      </w:r>
      <w:r w:rsidRPr="00894A4C">
        <w:rPr>
          <w:b w:val="0"/>
          <w:szCs w:val="24"/>
        </w:rPr>
        <w:t xml:space="preserve">1 </w:t>
      </w:r>
      <w:r w:rsidR="00FE02C2" w:rsidRPr="00894A4C">
        <w:rPr>
          <w:b w:val="0"/>
          <w:szCs w:val="24"/>
        </w:rPr>
        <w:t>provides</w:t>
      </w:r>
      <w:r w:rsidR="008B683E" w:rsidRPr="00894A4C">
        <w:rPr>
          <w:b w:val="0"/>
          <w:szCs w:val="24"/>
        </w:rPr>
        <w:t xml:space="preserve"> for the </w:t>
      </w:r>
      <w:r w:rsidR="008B2094" w:rsidRPr="00894A4C">
        <w:rPr>
          <w:b w:val="0"/>
          <w:szCs w:val="24"/>
        </w:rPr>
        <w:t>Determination</w:t>
      </w:r>
      <w:r w:rsidR="00FE02C2" w:rsidRPr="00894A4C">
        <w:rPr>
          <w:b w:val="0"/>
          <w:szCs w:val="24"/>
        </w:rPr>
        <w:t xml:space="preserve"> to be referred to as the </w:t>
      </w:r>
      <w:r w:rsidR="002D45AB" w:rsidRPr="00894A4C">
        <w:rPr>
          <w:b w:val="0"/>
          <w:i/>
          <w:szCs w:val="24"/>
        </w:rPr>
        <w:t>Health Insurance Legislation Amendment (Extend Cessation Date of Temporary COVID-19 Items) Determination 2020</w:t>
      </w:r>
      <w:r w:rsidR="002D45AB" w:rsidRPr="00894A4C">
        <w:rPr>
          <w:b w:val="0"/>
          <w:szCs w:val="24"/>
        </w:rPr>
        <w:t>.</w:t>
      </w:r>
    </w:p>
    <w:p w14:paraId="68DAA207" w14:textId="77777777" w:rsidR="00FD602D" w:rsidRPr="00894A4C" w:rsidRDefault="00FD602D" w:rsidP="00FD602D"/>
    <w:p w14:paraId="49D1E050" w14:textId="77777777" w:rsidR="007A4089" w:rsidRPr="00894A4C" w:rsidRDefault="00FE02C2" w:rsidP="000337CB">
      <w:pPr>
        <w:pStyle w:val="BodyText"/>
        <w:rPr>
          <w:b w:val="0"/>
          <w:szCs w:val="24"/>
          <w:u w:val="single"/>
        </w:rPr>
      </w:pPr>
      <w:r w:rsidRPr="00894A4C">
        <w:rPr>
          <w:b w:val="0"/>
          <w:szCs w:val="24"/>
          <w:u w:val="single"/>
        </w:rPr>
        <w:t xml:space="preserve">Section 2 – Commencement </w:t>
      </w:r>
    </w:p>
    <w:p w14:paraId="2DCE2ED0" w14:textId="77777777" w:rsidR="007A4089" w:rsidRPr="00894A4C" w:rsidRDefault="007A4089" w:rsidP="000337CB">
      <w:pPr>
        <w:pStyle w:val="BodyText"/>
        <w:rPr>
          <w:b w:val="0"/>
          <w:szCs w:val="24"/>
          <w:u w:val="single"/>
        </w:rPr>
      </w:pPr>
    </w:p>
    <w:p w14:paraId="2412D148" w14:textId="65D55176" w:rsidR="00510A4F" w:rsidRPr="00894A4C" w:rsidRDefault="00510A4F" w:rsidP="000337CB">
      <w:pPr>
        <w:pStyle w:val="BodyText"/>
        <w:rPr>
          <w:b w:val="0"/>
          <w:color w:val="FF0000"/>
          <w:szCs w:val="24"/>
        </w:rPr>
      </w:pPr>
      <w:r w:rsidRPr="00894A4C">
        <w:rPr>
          <w:b w:val="0"/>
          <w:szCs w:val="24"/>
        </w:rPr>
        <w:t xml:space="preserve">Section 2 </w:t>
      </w:r>
      <w:r w:rsidR="00404F11" w:rsidRPr="00894A4C">
        <w:rPr>
          <w:b w:val="0"/>
          <w:szCs w:val="24"/>
        </w:rPr>
        <w:t xml:space="preserve">provides that the </w:t>
      </w:r>
      <w:r w:rsidR="008B2094" w:rsidRPr="00894A4C">
        <w:rPr>
          <w:b w:val="0"/>
          <w:szCs w:val="24"/>
        </w:rPr>
        <w:t xml:space="preserve">Determination </w:t>
      </w:r>
      <w:r w:rsidR="00ED0752" w:rsidRPr="00894A4C">
        <w:rPr>
          <w:b w:val="0"/>
          <w:szCs w:val="24"/>
        </w:rPr>
        <w:t>will commence</w:t>
      </w:r>
      <w:r w:rsidR="00404F11" w:rsidRPr="00894A4C">
        <w:rPr>
          <w:b w:val="0"/>
          <w:szCs w:val="24"/>
        </w:rPr>
        <w:t xml:space="preserve"> </w:t>
      </w:r>
      <w:r w:rsidR="002D45AB" w:rsidRPr="00894A4C">
        <w:rPr>
          <w:b w:val="0"/>
          <w:szCs w:val="24"/>
        </w:rPr>
        <w:t>the day after the instrument is registered. The amendments in Schedule 2 commence on 1 October 2020.</w:t>
      </w:r>
    </w:p>
    <w:p w14:paraId="16C03200" w14:textId="77777777" w:rsidR="007E0017" w:rsidRPr="00894A4C" w:rsidRDefault="007E0017" w:rsidP="000337CB">
      <w:pPr>
        <w:pStyle w:val="BodyText"/>
        <w:rPr>
          <w:b w:val="0"/>
          <w:szCs w:val="24"/>
        </w:rPr>
      </w:pPr>
    </w:p>
    <w:p w14:paraId="005D5660" w14:textId="77777777" w:rsidR="007A4089" w:rsidRPr="00894A4C" w:rsidRDefault="00FE02C2" w:rsidP="000337CB">
      <w:pPr>
        <w:pStyle w:val="BodyText"/>
        <w:rPr>
          <w:b w:val="0"/>
          <w:szCs w:val="24"/>
          <w:u w:val="single"/>
        </w:rPr>
      </w:pPr>
      <w:r w:rsidRPr="00894A4C">
        <w:rPr>
          <w:b w:val="0"/>
          <w:szCs w:val="24"/>
          <w:u w:val="single"/>
        </w:rPr>
        <w:t xml:space="preserve">Section 3 – </w:t>
      </w:r>
      <w:r w:rsidR="00E5798A" w:rsidRPr="00894A4C">
        <w:rPr>
          <w:b w:val="0"/>
          <w:szCs w:val="24"/>
          <w:u w:val="single"/>
        </w:rPr>
        <w:t>Authority</w:t>
      </w:r>
    </w:p>
    <w:p w14:paraId="53BFA098" w14:textId="77777777" w:rsidR="007A4089" w:rsidRPr="00894A4C" w:rsidRDefault="007A4089" w:rsidP="000337CB">
      <w:pPr>
        <w:pStyle w:val="BodyText"/>
        <w:rPr>
          <w:b w:val="0"/>
          <w:szCs w:val="24"/>
          <w:u w:val="single"/>
        </w:rPr>
      </w:pPr>
    </w:p>
    <w:p w14:paraId="2412D14B" w14:textId="292E7F38" w:rsidR="00FE02C2" w:rsidRPr="00894A4C" w:rsidRDefault="00F83B6F" w:rsidP="000337CB">
      <w:pPr>
        <w:pStyle w:val="BodyText"/>
        <w:rPr>
          <w:b w:val="0"/>
        </w:rPr>
      </w:pPr>
      <w:r w:rsidRPr="00894A4C">
        <w:rPr>
          <w:b w:val="0"/>
        </w:rPr>
        <w:t xml:space="preserve">Section 3 provides that the </w:t>
      </w:r>
      <w:r w:rsidR="008B2094" w:rsidRPr="00894A4C">
        <w:rPr>
          <w:b w:val="0"/>
          <w:szCs w:val="24"/>
        </w:rPr>
        <w:t xml:space="preserve">Determination </w:t>
      </w:r>
      <w:r w:rsidR="00E5798A" w:rsidRPr="00894A4C">
        <w:rPr>
          <w:b w:val="0"/>
        </w:rPr>
        <w:t xml:space="preserve">is made under </w:t>
      </w:r>
      <w:r w:rsidR="00367440" w:rsidRPr="00894A4C">
        <w:rPr>
          <w:b w:val="0"/>
        </w:rPr>
        <w:t xml:space="preserve">subsection </w:t>
      </w:r>
      <w:r w:rsidR="00E5798A" w:rsidRPr="00894A4C">
        <w:rPr>
          <w:b w:val="0"/>
        </w:rPr>
        <w:t xml:space="preserve">3C(1) of the </w:t>
      </w:r>
      <w:r w:rsidR="00E5798A" w:rsidRPr="00894A4C">
        <w:rPr>
          <w:b w:val="0"/>
          <w:i/>
        </w:rPr>
        <w:t>Health Insurance Act 1973</w:t>
      </w:r>
      <w:r w:rsidR="00E5798A" w:rsidRPr="00894A4C">
        <w:rPr>
          <w:b w:val="0"/>
        </w:rPr>
        <w:t>.</w:t>
      </w:r>
    </w:p>
    <w:p w14:paraId="0DBF1241" w14:textId="77777777" w:rsidR="00E70355" w:rsidRPr="00894A4C" w:rsidRDefault="00E70355" w:rsidP="000337CB">
      <w:pPr>
        <w:pStyle w:val="BodyText"/>
        <w:rPr>
          <w:b w:val="0"/>
        </w:rPr>
      </w:pPr>
    </w:p>
    <w:p w14:paraId="20CBF84A" w14:textId="77777777" w:rsidR="00C63FDC" w:rsidRPr="00894A4C" w:rsidRDefault="00C63FDC" w:rsidP="00C63FDC">
      <w:pPr>
        <w:pStyle w:val="BodyText"/>
        <w:rPr>
          <w:b w:val="0"/>
          <w:szCs w:val="24"/>
          <w:u w:val="single"/>
        </w:rPr>
      </w:pPr>
      <w:r w:rsidRPr="00894A4C">
        <w:rPr>
          <w:b w:val="0"/>
          <w:szCs w:val="24"/>
          <w:u w:val="single"/>
        </w:rPr>
        <w:t>Section 4 – Schedules</w:t>
      </w:r>
    </w:p>
    <w:p w14:paraId="4C010161" w14:textId="77777777" w:rsidR="00C63FDC" w:rsidRPr="00894A4C" w:rsidRDefault="00C63FDC" w:rsidP="00C63FDC">
      <w:pPr>
        <w:pStyle w:val="BodyText"/>
        <w:rPr>
          <w:b w:val="0"/>
          <w:szCs w:val="24"/>
          <w:u w:val="single"/>
        </w:rPr>
      </w:pPr>
    </w:p>
    <w:p w14:paraId="5D9EBF8D" w14:textId="162AD7BE" w:rsidR="00C63FDC" w:rsidRPr="00894A4C" w:rsidRDefault="00C63FDC" w:rsidP="00C63FDC">
      <w:pPr>
        <w:pStyle w:val="BodyText"/>
        <w:rPr>
          <w:b w:val="0"/>
          <w:szCs w:val="24"/>
        </w:rPr>
      </w:pPr>
      <w:r w:rsidRPr="00894A4C">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894A4C" w:rsidRDefault="007E0017" w:rsidP="00404F11">
      <w:pPr>
        <w:pStyle w:val="BodyText"/>
        <w:rPr>
          <w:b w:val="0"/>
          <w:szCs w:val="24"/>
        </w:rPr>
      </w:pPr>
    </w:p>
    <w:p w14:paraId="768D340E" w14:textId="48E1B209" w:rsidR="00C63FDC" w:rsidRPr="00894A4C" w:rsidRDefault="00C63FDC" w:rsidP="00C63FDC">
      <w:pPr>
        <w:pStyle w:val="Header"/>
        <w:tabs>
          <w:tab w:val="num" w:pos="1080"/>
        </w:tabs>
        <w:rPr>
          <w:szCs w:val="24"/>
          <w:u w:val="single"/>
        </w:rPr>
      </w:pPr>
      <w:r w:rsidRPr="00894A4C">
        <w:rPr>
          <w:szCs w:val="24"/>
          <w:u w:val="single"/>
        </w:rPr>
        <w:t>Schedule 1 – Amendments</w:t>
      </w:r>
      <w:r w:rsidR="00D00394" w:rsidRPr="00894A4C">
        <w:rPr>
          <w:szCs w:val="24"/>
          <w:u w:val="single"/>
        </w:rPr>
        <w:t xml:space="preserve"> commencing the day after registration</w:t>
      </w:r>
    </w:p>
    <w:p w14:paraId="2212E577" w14:textId="77777777" w:rsidR="00C63FDC" w:rsidRPr="00894A4C" w:rsidRDefault="00C63FDC" w:rsidP="00C63FDC">
      <w:pPr>
        <w:pStyle w:val="Header"/>
        <w:tabs>
          <w:tab w:val="num" w:pos="1080"/>
        </w:tabs>
        <w:rPr>
          <w:szCs w:val="24"/>
          <w:u w:val="single"/>
        </w:rPr>
      </w:pPr>
    </w:p>
    <w:p w14:paraId="447C9949" w14:textId="2CFFA4F8" w:rsidR="002402DD" w:rsidRPr="00894A4C" w:rsidRDefault="0038562E" w:rsidP="002402DD">
      <w:pPr>
        <w:pStyle w:val="Header"/>
        <w:tabs>
          <w:tab w:val="num" w:pos="1080"/>
        </w:tabs>
        <w:rPr>
          <w:szCs w:val="24"/>
        </w:rPr>
      </w:pPr>
      <w:r w:rsidRPr="00894A4C">
        <w:rPr>
          <w:szCs w:val="24"/>
        </w:rPr>
        <w:t xml:space="preserve">Item 1 of </w:t>
      </w:r>
      <w:r w:rsidR="00755A5A" w:rsidRPr="00894A4C">
        <w:rPr>
          <w:szCs w:val="24"/>
        </w:rPr>
        <w:t xml:space="preserve">Schedule 1 of </w:t>
      </w:r>
      <w:r w:rsidRPr="00894A4C">
        <w:rPr>
          <w:szCs w:val="24"/>
        </w:rPr>
        <w:t xml:space="preserve">the Determination </w:t>
      </w:r>
      <w:r w:rsidR="003C710C" w:rsidRPr="00894A4C">
        <w:rPr>
          <w:szCs w:val="24"/>
        </w:rPr>
        <w:t>changes</w:t>
      </w:r>
      <w:r w:rsidRPr="00894A4C">
        <w:rPr>
          <w:szCs w:val="24"/>
        </w:rPr>
        <w:t xml:space="preserve"> the sunset date of the </w:t>
      </w:r>
      <w:r w:rsidR="009550CC" w:rsidRPr="00894A4C">
        <w:rPr>
          <w:i/>
          <w:szCs w:val="24"/>
        </w:rPr>
        <w:t>Health Insurance (Section 3C General Medical Services - COVID-19 Telehealth and Telephone Attendances) Determination 2020</w:t>
      </w:r>
      <w:r w:rsidR="009550CC" w:rsidRPr="00894A4C">
        <w:rPr>
          <w:szCs w:val="24"/>
        </w:rPr>
        <w:t xml:space="preserve"> </w:t>
      </w:r>
      <w:r w:rsidRPr="00894A4C">
        <w:rPr>
          <w:szCs w:val="24"/>
        </w:rPr>
        <w:t xml:space="preserve">from </w:t>
      </w:r>
      <w:r w:rsidR="009550CC" w:rsidRPr="00894A4C">
        <w:rPr>
          <w:szCs w:val="24"/>
        </w:rPr>
        <w:t xml:space="preserve">30 September 2020 </w:t>
      </w:r>
      <w:r w:rsidRPr="00894A4C">
        <w:rPr>
          <w:szCs w:val="24"/>
        </w:rPr>
        <w:t xml:space="preserve">to </w:t>
      </w:r>
      <w:r w:rsidR="009550CC" w:rsidRPr="00894A4C">
        <w:rPr>
          <w:szCs w:val="24"/>
        </w:rPr>
        <w:t>31 March 2021</w:t>
      </w:r>
      <w:r w:rsidRPr="00894A4C">
        <w:rPr>
          <w:szCs w:val="24"/>
        </w:rPr>
        <w:t xml:space="preserve">. This will extend </w:t>
      </w:r>
      <w:r w:rsidR="003E7F81" w:rsidRPr="00894A4C">
        <w:rPr>
          <w:szCs w:val="24"/>
        </w:rPr>
        <w:t xml:space="preserve">the availability of the temporary </w:t>
      </w:r>
      <w:r w:rsidR="002402DD" w:rsidRPr="00894A4C">
        <w:rPr>
          <w:color w:val="000000"/>
        </w:rPr>
        <w:t>remote service options to enable patients to access telehealth and phone consultation services. These services can be provided by general practitioners (GPs), other doctors in general practice, specialists, consultant physicians, nurse practitioners and allied health professionals.</w:t>
      </w:r>
    </w:p>
    <w:p w14:paraId="1A7217DF" w14:textId="42D66D3A" w:rsidR="002402DD" w:rsidRPr="00894A4C" w:rsidRDefault="002402DD" w:rsidP="00C63FDC">
      <w:pPr>
        <w:pStyle w:val="Header"/>
        <w:tabs>
          <w:tab w:val="num" w:pos="1080"/>
        </w:tabs>
        <w:rPr>
          <w:szCs w:val="24"/>
        </w:rPr>
      </w:pPr>
    </w:p>
    <w:p w14:paraId="6F8E71EB" w14:textId="7FEDE4AD" w:rsidR="009C1D14" w:rsidRPr="00894A4C" w:rsidRDefault="00690D79" w:rsidP="00B660A5">
      <w:pPr>
        <w:pStyle w:val="Header"/>
        <w:tabs>
          <w:tab w:val="num" w:pos="1080"/>
        </w:tabs>
        <w:rPr>
          <w:szCs w:val="24"/>
        </w:rPr>
      </w:pPr>
      <w:r w:rsidRPr="00894A4C">
        <w:rPr>
          <w:szCs w:val="24"/>
        </w:rPr>
        <w:t>Item 2</w:t>
      </w:r>
      <w:r w:rsidR="009C1D14" w:rsidRPr="00894A4C">
        <w:rPr>
          <w:szCs w:val="24"/>
        </w:rPr>
        <w:t xml:space="preserve"> </w:t>
      </w:r>
      <w:r w:rsidR="00755A5A" w:rsidRPr="00894A4C">
        <w:rPr>
          <w:szCs w:val="24"/>
        </w:rPr>
        <w:t xml:space="preserve">of Schedule 1 </w:t>
      </w:r>
      <w:r w:rsidR="009C1D14" w:rsidRPr="00894A4C">
        <w:rPr>
          <w:szCs w:val="24"/>
        </w:rPr>
        <w:t>of the Determination</w:t>
      </w:r>
      <w:r w:rsidR="00873F63" w:rsidRPr="00894A4C">
        <w:rPr>
          <w:szCs w:val="24"/>
        </w:rPr>
        <w:t xml:space="preserve"> clarifies </w:t>
      </w:r>
      <w:r w:rsidR="00BC2E81" w:rsidRPr="00894A4C">
        <w:rPr>
          <w:szCs w:val="24"/>
        </w:rPr>
        <w:t xml:space="preserve">that medical practitioners employed by accredited Medical Deputising Services and GPs employed by Approved Medical Deputising Service providers are deemed to be the ‘patient’s usual medical practitioner’ in specified circumstances. GPs and other medical practitioners working in general practice must only perform a telehealth or phone service where they have an existing and continuous relationship with the patient (per the definition of the patient’s usual medical practitioner) or the service is exempt from that general requirement, per subsection 8(10) of the </w:t>
      </w:r>
      <w:r w:rsidR="00BC2E81" w:rsidRPr="00894A4C">
        <w:rPr>
          <w:i/>
          <w:szCs w:val="24"/>
        </w:rPr>
        <w:t>Health Insurance (Section 3C General Medical Services - COVID-19 Telehealth and Telephone Attendances) Determination</w:t>
      </w:r>
      <w:r w:rsidR="00BC2E81" w:rsidRPr="00894A4C">
        <w:rPr>
          <w:szCs w:val="24"/>
        </w:rPr>
        <w:t>.</w:t>
      </w:r>
      <w:r w:rsidR="00BC2E81" w:rsidRPr="00894A4C">
        <w:rPr>
          <w:color w:val="FF0000"/>
          <w:szCs w:val="24"/>
        </w:rPr>
        <w:br/>
      </w:r>
    </w:p>
    <w:p w14:paraId="27EBE49E" w14:textId="1E547D6B" w:rsidR="00B660A5" w:rsidRPr="00894A4C" w:rsidRDefault="009C1D14" w:rsidP="00B660A5">
      <w:pPr>
        <w:pStyle w:val="Header"/>
        <w:tabs>
          <w:tab w:val="num" w:pos="1080"/>
        </w:tabs>
        <w:rPr>
          <w:color w:val="000000"/>
          <w:szCs w:val="24"/>
        </w:rPr>
      </w:pPr>
      <w:r w:rsidRPr="00894A4C">
        <w:rPr>
          <w:szCs w:val="24"/>
        </w:rPr>
        <w:t>Item 3</w:t>
      </w:r>
      <w:r w:rsidR="00B660A5" w:rsidRPr="00894A4C">
        <w:rPr>
          <w:szCs w:val="24"/>
        </w:rPr>
        <w:t xml:space="preserve"> </w:t>
      </w:r>
      <w:r w:rsidR="00755A5A" w:rsidRPr="00894A4C">
        <w:rPr>
          <w:szCs w:val="24"/>
        </w:rPr>
        <w:t xml:space="preserve">of Schedule 1 </w:t>
      </w:r>
      <w:r w:rsidR="00B660A5" w:rsidRPr="00894A4C">
        <w:rPr>
          <w:szCs w:val="24"/>
        </w:rPr>
        <w:t xml:space="preserve">of the Determination will extend the availability of the temporary telehealth or phone additional Better Access services in the </w:t>
      </w:r>
      <w:r w:rsidR="00B660A5" w:rsidRPr="00894A4C">
        <w:rPr>
          <w:i/>
          <w:szCs w:val="24"/>
        </w:rPr>
        <w:t xml:space="preserve">Health Insurance (Section 3C General Medical – Expansion of GP and Allied Health Mental Health Services) Determination 2020 </w:t>
      </w:r>
      <w:r w:rsidR="00B660A5" w:rsidRPr="00894A4C">
        <w:rPr>
          <w:szCs w:val="24"/>
        </w:rPr>
        <w:t xml:space="preserve">from 30 September 2020 to 31 March 2021. </w:t>
      </w:r>
    </w:p>
    <w:p w14:paraId="587A3502" w14:textId="31D9A0DA" w:rsidR="00B660A5" w:rsidRPr="00894A4C" w:rsidRDefault="00B660A5" w:rsidP="00B660A5">
      <w:pPr>
        <w:pStyle w:val="Header"/>
        <w:tabs>
          <w:tab w:val="num" w:pos="1080"/>
        </w:tabs>
        <w:rPr>
          <w:szCs w:val="24"/>
        </w:rPr>
      </w:pPr>
    </w:p>
    <w:p w14:paraId="7788EAB8" w14:textId="45C2D919" w:rsidR="00B660A5" w:rsidRPr="00894A4C" w:rsidRDefault="009C1D14" w:rsidP="00B660A5">
      <w:pPr>
        <w:pStyle w:val="Header"/>
        <w:tabs>
          <w:tab w:val="num" w:pos="1080"/>
        </w:tabs>
        <w:rPr>
          <w:szCs w:val="24"/>
        </w:rPr>
      </w:pPr>
      <w:r w:rsidRPr="00894A4C">
        <w:rPr>
          <w:szCs w:val="24"/>
        </w:rPr>
        <w:lastRenderedPageBreak/>
        <w:t>Item 4</w:t>
      </w:r>
      <w:r w:rsidR="00B660A5" w:rsidRPr="00894A4C">
        <w:rPr>
          <w:szCs w:val="24"/>
        </w:rPr>
        <w:t xml:space="preserve"> </w:t>
      </w:r>
      <w:r w:rsidR="00755A5A" w:rsidRPr="00894A4C">
        <w:rPr>
          <w:szCs w:val="24"/>
        </w:rPr>
        <w:t xml:space="preserve">of Schedule 1 </w:t>
      </w:r>
      <w:r w:rsidR="00B660A5" w:rsidRPr="00894A4C">
        <w:rPr>
          <w:szCs w:val="24"/>
        </w:rPr>
        <w:t xml:space="preserve">of the Determination changes the sunset date of the </w:t>
      </w:r>
      <w:r w:rsidR="00B660A5" w:rsidRPr="00894A4C">
        <w:rPr>
          <w:i/>
          <w:szCs w:val="24"/>
        </w:rPr>
        <w:t xml:space="preserve">Health Insurance (Section 3C Pathology Services – COVID‑19) Determination 2020 </w:t>
      </w:r>
      <w:r w:rsidR="00B660A5" w:rsidRPr="00894A4C">
        <w:rPr>
          <w:szCs w:val="24"/>
        </w:rPr>
        <w:t>from 30 September 2020 to 31 March 2021. This will extend the availability of the temporary SARS-CoV-2 pathology testing which is available for persons who may have contracted COVID-19 and for screening essential workers in the Victorian aged care sector and interstate heavy vehicle drivers.</w:t>
      </w:r>
    </w:p>
    <w:p w14:paraId="6D5607B3" w14:textId="3E0B56A5" w:rsidR="00B660A5" w:rsidRPr="00894A4C" w:rsidRDefault="00B660A5" w:rsidP="00B660A5">
      <w:pPr>
        <w:pStyle w:val="Header"/>
        <w:tabs>
          <w:tab w:val="num" w:pos="1080"/>
        </w:tabs>
        <w:rPr>
          <w:szCs w:val="24"/>
        </w:rPr>
      </w:pPr>
    </w:p>
    <w:p w14:paraId="5407D2E7" w14:textId="4850107E" w:rsidR="00B660A5" w:rsidRPr="00894A4C" w:rsidRDefault="00B660A5" w:rsidP="00B660A5">
      <w:pPr>
        <w:pStyle w:val="Header"/>
        <w:tabs>
          <w:tab w:val="num" w:pos="1080"/>
        </w:tabs>
        <w:rPr>
          <w:szCs w:val="24"/>
        </w:rPr>
      </w:pPr>
      <w:r w:rsidRPr="00894A4C">
        <w:rPr>
          <w:szCs w:val="24"/>
        </w:rPr>
        <w:t>Item</w:t>
      </w:r>
      <w:r w:rsidR="001C75A1" w:rsidRPr="00894A4C">
        <w:rPr>
          <w:szCs w:val="24"/>
        </w:rPr>
        <w:t>s</w:t>
      </w:r>
      <w:r w:rsidRPr="00894A4C">
        <w:rPr>
          <w:szCs w:val="24"/>
        </w:rPr>
        <w:t xml:space="preserve"> </w:t>
      </w:r>
      <w:r w:rsidR="009C1D14" w:rsidRPr="00894A4C">
        <w:rPr>
          <w:szCs w:val="24"/>
        </w:rPr>
        <w:t>5 and 6</w:t>
      </w:r>
      <w:r w:rsidRPr="00894A4C">
        <w:rPr>
          <w:szCs w:val="24"/>
        </w:rPr>
        <w:t xml:space="preserve"> </w:t>
      </w:r>
      <w:r w:rsidR="00755A5A" w:rsidRPr="00894A4C">
        <w:rPr>
          <w:szCs w:val="24"/>
        </w:rPr>
        <w:t xml:space="preserve">of Schedule 1 </w:t>
      </w:r>
      <w:r w:rsidRPr="00894A4C">
        <w:rPr>
          <w:szCs w:val="24"/>
        </w:rPr>
        <w:t xml:space="preserve">of the Determination amends the </w:t>
      </w:r>
      <w:r w:rsidRPr="00894A4C">
        <w:rPr>
          <w:i/>
          <w:szCs w:val="24"/>
        </w:rPr>
        <w:t>Health Insurance (Section 3C Pathology Services – COVID‑19) Determination 2020</w:t>
      </w:r>
      <w:r w:rsidR="001C75A1" w:rsidRPr="00894A4C">
        <w:rPr>
          <w:i/>
          <w:szCs w:val="24"/>
        </w:rPr>
        <w:t xml:space="preserve"> </w:t>
      </w:r>
      <w:r w:rsidR="001C75A1" w:rsidRPr="00894A4C">
        <w:rPr>
          <w:szCs w:val="24"/>
        </w:rPr>
        <w:t>to expand the category of essential workers eligible for SARS-COV-2 testing item to include people who travel interstate as a rail crew member.</w:t>
      </w:r>
    </w:p>
    <w:p w14:paraId="6B8F0230" w14:textId="77777777" w:rsidR="00B660A5" w:rsidRPr="00894A4C" w:rsidRDefault="00B660A5" w:rsidP="00B660A5">
      <w:pPr>
        <w:pStyle w:val="Header"/>
        <w:tabs>
          <w:tab w:val="num" w:pos="1080"/>
        </w:tabs>
        <w:rPr>
          <w:szCs w:val="24"/>
        </w:rPr>
      </w:pPr>
    </w:p>
    <w:p w14:paraId="565718E6" w14:textId="3E1D0E7F" w:rsidR="00504ECC" w:rsidRPr="00894A4C" w:rsidRDefault="00504ECC" w:rsidP="00504ECC">
      <w:pPr>
        <w:pStyle w:val="Header"/>
        <w:tabs>
          <w:tab w:val="num" w:pos="1080"/>
        </w:tabs>
        <w:rPr>
          <w:szCs w:val="24"/>
          <w:u w:val="single"/>
        </w:rPr>
      </w:pPr>
      <w:r w:rsidRPr="00894A4C">
        <w:rPr>
          <w:szCs w:val="24"/>
          <w:u w:val="single"/>
        </w:rPr>
        <w:t>Schedule 2 – Amendments commencing on 1 October 2020</w:t>
      </w:r>
    </w:p>
    <w:p w14:paraId="58AD12B2" w14:textId="1404AD63" w:rsidR="0038562E" w:rsidRPr="00894A4C" w:rsidRDefault="0038562E" w:rsidP="00C63FDC">
      <w:pPr>
        <w:pStyle w:val="Header"/>
        <w:tabs>
          <w:tab w:val="num" w:pos="1080"/>
        </w:tabs>
        <w:rPr>
          <w:szCs w:val="24"/>
        </w:rPr>
      </w:pPr>
    </w:p>
    <w:p w14:paraId="1B93F8D5" w14:textId="06D5169A" w:rsidR="00C041A8" w:rsidRPr="00894A4C" w:rsidRDefault="005824CB" w:rsidP="00C63FDC">
      <w:pPr>
        <w:pStyle w:val="Header"/>
        <w:tabs>
          <w:tab w:val="num" w:pos="1080"/>
        </w:tabs>
        <w:rPr>
          <w:color w:val="000000"/>
        </w:rPr>
      </w:pPr>
      <w:r w:rsidRPr="00894A4C">
        <w:rPr>
          <w:szCs w:val="24"/>
        </w:rPr>
        <w:t xml:space="preserve">Items 1 and 2 of </w:t>
      </w:r>
      <w:r w:rsidR="00755A5A" w:rsidRPr="00894A4C">
        <w:rPr>
          <w:szCs w:val="24"/>
        </w:rPr>
        <w:t xml:space="preserve">Schedule 2 of </w:t>
      </w:r>
      <w:r w:rsidRPr="00894A4C">
        <w:rPr>
          <w:szCs w:val="24"/>
        </w:rPr>
        <w:t xml:space="preserve">the Determination amend the </w:t>
      </w:r>
      <w:r w:rsidRPr="00894A4C">
        <w:rPr>
          <w:i/>
          <w:szCs w:val="24"/>
        </w:rPr>
        <w:t xml:space="preserve">Health Insurance (Section 3C General Medical Services - COVID-19 Telehealth and Telephone Attendances) Determination 2020 </w:t>
      </w:r>
      <w:r w:rsidR="00C041A8" w:rsidRPr="00894A4C">
        <w:rPr>
          <w:szCs w:val="24"/>
        </w:rPr>
        <w:t xml:space="preserve">to remove the requirement for </w:t>
      </w:r>
      <w:r w:rsidR="00C041A8" w:rsidRPr="00894A4C">
        <w:rPr>
          <w:color w:val="000000"/>
        </w:rPr>
        <w:t xml:space="preserve">GPs and other doctors in general practice to bulk-bill remote attendances for certain patients. </w:t>
      </w:r>
      <w:r w:rsidR="00BD5A94" w:rsidRPr="00894A4C">
        <w:rPr>
          <w:color w:val="000000"/>
        </w:rPr>
        <w:t>Upon commencement of these amendments, these doctors will be able to choose to bulk-bill or patient bill any temporary COVID-19 telehealth and phone attendance service.</w:t>
      </w:r>
    </w:p>
    <w:p w14:paraId="078B6F02" w14:textId="2EF645D2" w:rsidR="00C041A8" w:rsidRPr="00894A4C" w:rsidRDefault="00C041A8" w:rsidP="00C63FDC">
      <w:pPr>
        <w:pStyle w:val="Header"/>
        <w:tabs>
          <w:tab w:val="num" w:pos="1080"/>
        </w:tabs>
        <w:rPr>
          <w:color w:val="000000"/>
        </w:rPr>
      </w:pPr>
    </w:p>
    <w:p w14:paraId="5A4AC07F" w14:textId="6910007F" w:rsidR="00C041A8" w:rsidRPr="00894A4C" w:rsidRDefault="00C041A8" w:rsidP="00C63FDC">
      <w:pPr>
        <w:pStyle w:val="Header"/>
        <w:tabs>
          <w:tab w:val="num" w:pos="1080"/>
        </w:tabs>
        <w:rPr>
          <w:szCs w:val="24"/>
        </w:rPr>
      </w:pPr>
    </w:p>
    <w:p w14:paraId="25EFEA55" w14:textId="5C56191C" w:rsidR="00C041A8" w:rsidRPr="00894A4C" w:rsidRDefault="00C041A8" w:rsidP="00C63FDC">
      <w:pPr>
        <w:pStyle w:val="Header"/>
        <w:tabs>
          <w:tab w:val="num" w:pos="1080"/>
        </w:tabs>
        <w:rPr>
          <w:szCs w:val="24"/>
        </w:rPr>
      </w:pPr>
    </w:p>
    <w:p w14:paraId="371F01D6" w14:textId="4EC0DAC0" w:rsidR="007708B3" w:rsidRPr="00894A4C" w:rsidRDefault="007708B3" w:rsidP="00C63FDC">
      <w:pPr>
        <w:pStyle w:val="Header"/>
        <w:tabs>
          <w:tab w:val="num" w:pos="1080"/>
        </w:tabs>
        <w:rPr>
          <w:szCs w:val="24"/>
        </w:rPr>
      </w:pPr>
    </w:p>
    <w:p w14:paraId="21DF9DDC" w14:textId="1767E1F1" w:rsidR="00331752" w:rsidRPr="00894A4C" w:rsidRDefault="00331752">
      <w:pPr>
        <w:spacing w:after="200" w:line="276" w:lineRule="auto"/>
        <w:rPr>
          <w:szCs w:val="24"/>
          <w:u w:val="single"/>
        </w:rPr>
      </w:pPr>
      <w:r w:rsidRPr="00894A4C">
        <w:rPr>
          <w:szCs w:val="24"/>
          <w:u w:val="single"/>
        </w:rPr>
        <w:br w:type="page"/>
      </w:r>
    </w:p>
    <w:p w14:paraId="2412D14E" w14:textId="632B4BE9" w:rsidR="00A17F2C" w:rsidRPr="00894A4C" w:rsidRDefault="00A17F2C" w:rsidP="008D136F">
      <w:pPr>
        <w:pStyle w:val="Header"/>
        <w:tabs>
          <w:tab w:val="num" w:pos="1080"/>
        </w:tabs>
        <w:jc w:val="center"/>
        <w:rPr>
          <w:b/>
          <w:sz w:val="28"/>
          <w:szCs w:val="28"/>
        </w:rPr>
      </w:pPr>
      <w:r w:rsidRPr="00894A4C">
        <w:rPr>
          <w:b/>
          <w:sz w:val="28"/>
          <w:szCs w:val="28"/>
        </w:rPr>
        <w:lastRenderedPageBreak/>
        <w:t>Statement of Compatibility with Human Rights</w:t>
      </w:r>
    </w:p>
    <w:p w14:paraId="2412D14F" w14:textId="77777777" w:rsidR="00A17F2C" w:rsidRPr="00894A4C" w:rsidRDefault="00A17F2C" w:rsidP="000337CB">
      <w:pPr>
        <w:spacing w:before="120" w:after="120"/>
        <w:jc w:val="center"/>
        <w:rPr>
          <w:szCs w:val="24"/>
        </w:rPr>
      </w:pPr>
      <w:r w:rsidRPr="00894A4C">
        <w:rPr>
          <w:i/>
          <w:szCs w:val="24"/>
        </w:rPr>
        <w:t>Prepared in accordance with Part 3 of the Human Rights (Parliamentary Scrutiny) Act 2011</w:t>
      </w:r>
    </w:p>
    <w:p w14:paraId="751DE726" w14:textId="77777777" w:rsidR="002A6C77" w:rsidRPr="00894A4C" w:rsidRDefault="002A6C77" w:rsidP="000337CB">
      <w:pPr>
        <w:tabs>
          <w:tab w:val="left" w:pos="1418"/>
        </w:tabs>
        <w:ind w:left="851"/>
        <w:jc w:val="center"/>
        <w:rPr>
          <w:b/>
          <w:i/>
          <w:iCs/>
        </w:rPr>
      </w:pPr>
    </w:p>
    <w:p w14:paraId="3A52A4B2" w14:textId="2A1E375F" w:rsidR="00C6094D" w:rsidRPr="00894A4C" w:rsidRDefault="006245CA" w:rsidP="007708B3">
      <w:pPr>
        <w:tabs>
          <w:tab w:val="left" w:pos="1418"/>
        </w:tabs>
        <w:jc w:val="center"/>
        <w:rPr>
          <w:i/>
          <w:iCs/>
        </w:rPr>
      </w:pPr>
      <w:r w:rsidRPr="00894A4C">
        <w:rPr>
          <w:i/>
          <w:iCs/>
        </w:rPr>
        <w:t>Health Insurance Legislation Amendment (Extend Cessation Date of Temporary COVID-19 Items) Determination 2020</w:t>
      </w:r>
    </w:p>
    <w:p w14:paraId="1BF56C38" w14:textId="77777777" w:rsidR="007708B3" w:rsidRPr="00894A4C" w:rsidRDefault="007708B3" w:rsidP="000337CB">
      <w:pPr>
        <w:tabs>
          <w:tab w:val="left" w:pos="1418"/>
        </w:tabs>
        <w:ind w:left="851"/>
        <w:jc w:val="center"/>
        <w:rPr>
          <w:b/>
          <w:i/>
          <w:szCs w:val="24"/>
        </w:rPr>
      </w:pPr>
    </w:p>
    <w:p w14:paraId="2412D153" w14:textId="7AFD921D" w:rsidR="00A17F2C" w:rsidRPr="00894A4C" w:rsidRDefault="00A17F2C" w:rsidP="000337CB">
      <w:pPr>
        <w:jc w:val="center"/>
        <w:rPr>
          <w:szCs w:val="24"/>
        </w:rPr>
      </w:pPr>
      <w:r w:rsidRPr="00894A4C">
        <w:rPr>
          <w:szCs w:val="24"/>
        </w:rPr>
        <w:t xml:space="preserve">This </w:t>
      </w:r>
      <w:r w:rsidR="0046022A" w:rsidRPr="00894A4C">
        <w:rPr>
          <w:szCs w:val="24"/>
        </w:rPr>
        <w:t>instrument</w:t>
      </w:r>
      <w:r w:rsidRPr="00894A4C">
        <w:rPr>
          <w:szCs w:val="24"/>
        </w:rPr>
        <w:t xml:space="preserve"> is compatible with the human rights and freedoms recognised or declared in the international instruments listed in section 3 of the </w:t>
      </w:r>
      <w:r w:rsidRPr="00894A4C">
        <w:rPr>
          <w:i/>
          <w:szCs w:val="24"/>
        </w:rPr>
        <w:t>Human Rights (Parliamentary Scrutiny) Act 2011</w:t>
      </w:r>
      <w:r w:rsidRPr="00894A4C">
        <w:rPr>
          <w:szCs w:val="24"/>
        </w:rPr>
        <w:t>.</w:t>
      </w:r>
    </w:p>
    <w:p w14:paraId="7EDA9098" w14:textId="306A78E1" w:rsidR="006E6BBF" w:rsidRPr="00894A4C" w:rsidRDefault="006E6BBF" w:rsidP="008734F5">
      <w:pPr>
        <w:spacing w:before="120" w:after="120"/>
        <w:rPr>
          <w:b/>
          <w:szCs w:val="24"/>
        </w:rPr>
      </w:pPr>
      <w:r w:rsidRPr="00894A4C">
        <w:rPr>
          <w:b/>
          <w:szCs w:val="24"/>
        </w:rPr>
        <w:t xml:space="preserve">Overview of the </w:t>
      </w:r>
      <w:r w:rsidR="00B86A9F" w:rsidRPr="00894A4C">
        <w:rPr>
          <w:b/>
          <w:szCs w:val="24"/>
        </w:rPr>
        <w:t>Determination</w:t>
      </w:r>
    </w:p>
    <w:p w14:paraId="6DE03DF8" w14:textId="01F3C81F" w:rsidR="003F10FE" w:rsidRPr="00894A4C" w:rsidRDefault="003F10FE" w:rsidP="00CB31C9">
      <w:pPr>
        <w:pStyle w:val="Header"/>
        <w:tabs>
          <w:tab w:val="num" w:pos="1080"/>
        </w:tabs>
        <w:rPr>
          <w:color w:val="000000"/>
        </w:rPr>
      </w:pPr>
      <w:r w:rsidRPr="00894A4C">
        <w:rPr>
          <w:color w:val="000000"/>
        </w:rPr>
        <w:t>Since 13 March 2020, the Australian Government has been providing temporary access to Medicare benefits for certain medical services to protect Australians during the coronavirus (COVID-19) pandemic.</w:t>
      </w:r>
    </w:p>
    <w:p w14:paraId="0050F1FB" w14:textId="77777777" w:rsidR="00CB31C9" w:rsidRPr="00894A4C" w:rsidRDefault="00CB31C9" w:rsidP="00CB31C9">
      <w:pPr>
        <w:pStyle w:val="Header"/>
        <w:tabs>
          <w:tab w:val="num" w:pos="1080"/>
        </w:tabs>
        <w:rPr>
          <w:color w:val="000000"/>
        </w:rPr>
      </w:pPr>
    </w:p>
    <w:p w14:paraId="402B4473" w14:textId="77291928" w:rsidR="003F10FE" w:rsidRPr="00894A4C" w:rsidRDefault="003F10FE" w:rsidP="00CB31C9">
      <w:pPr>
        <w:pStyle w:val="Header"/>
        <w:tabs>
          <w:tab w:val="num" w:pos="1080"/>
        </w:tabs>
        <w:rPr>
          <w:color w:val="000000"/>
        </w:rPr>
      </w:pPr>
      <w:r w:rsidRPr="00894A4C">
        <w:rPr>
          <w:color w:val="000000"/>
        </w:rPr>
        <w:t>This includes providing Medicare benefits for temporary remote service options to enable patients to access telehealth and phone consultation services. These services can be provided by general practitioners (GPs), other doctors in general practice, specialists, consultant physicians, nurse practitioners and allied health professionals.</w:t>
      </w:r>
    </w:p>
    <w:p w14:paraId="7EB70C2A" w14:textId="77777777" w:rsidR="00CB31C9" w:rsidRPr="00894A4C" w:rsidRDefault="00CB31C9" w:rsidP="00CB31C9">
      <w:pPr>
        <w:pStyle w:val="Header"/>
        <w:tabs>
          <w:tab w:val="num" w:pos="1080"/>
        </w:tabs>
        <w:rPr>
          <w:color w:val="000000"/>
        </w:rPr>
      </w:pPr>
    </w:p>
    <w:p w14:paraId="7851871D" w14:textId="12684C09" w:rsidR="003F10FE" w:rsidRPr="00894A4C" w:rsidRDefault="003F10FE" w:rsidP="00CB31C9">
      <w:pPr>
        <w:pStyle w:val="Header"/>
        <w:tabs>
          <w:tab w:val="num" w:pos="1080"/>
        </w:tabs>
        <w:rPr>
          <w:color w:val="000000"/>
        </w:rPr>
      </w:pPr>
      <w:r w:rsidRPr="00894A4C">
        <w:rPr>
          <w:color w:val="000000"/>
        </w:rPr>
        <w:t>The Government is also providing Medicare benefits for severe acute respiratory syndrome coronavirus 2 (SARS-CoV-2) pathology testing, commonly known as COVID-19, to ensure adequate capacity to provide accessible and rapid laboratory testing. The SARS-CoV-2 test is available for persons who may have contracted COVID-19 and for screening essential workers in the Victorian aged care sector and interstate heavy vehicle drivers.</w:t>
      </w:r>
    </w:p>
    <w:p w14:paraId="4639B110" w14:textId="77777777" w:rsidR="00CB31C9" w:rsidRPr="00894A4C" w:rsidRDefault="00CB31C9" w:rsidP="00CB31C9">
      <w:pPr>
        <w:pStyle w:val="Header"/>
        <w:tabs>
          <w:tab w:val="num" w:pos="1080"/>
        </w:tabs>
        <w:rPr>
          <w:color w:val="000000"/>
        </w:rPr>
      </w:pPr>
    </w:p>
    <w:p w14:paraId="089E42D4" w14:textId="72161780" w:rsidR="005D3FA3" w:rsidRPr="00894A4C" w:rsidRDefault="003F10FE" w:rsidP="00CB31C9">
      <w:pPr>
        <w:pStyle w:val="Header"/>
        <w:tabs>
          <w:tab w:val="num" w:pos="1080"/>
        </w:tabs>
        <w:rPr>
          <w:color w:val="000000"/>
        </w:rPr>
      </w:pPr>
      <w:r w:rsidRPr="00894A4C">
        <w:rPr>
          <w:color w:val="000000"/>
        </w:rPr>
        <w:t xml:space="preserve">The temporary items are due to cease on 30 September 2020. The purpose of the </w:t>
      </w:r>
      <w:r w:rsidRPr="00894A4C">
        <w:rPr>
          <w:i/>
          <w:color w:val="000000"/>
        </w:rPr>
        <w:t xml:space="preserve">Health Insurance Legislation Amendment (Extend Cessation Date of Temporary COVID-19 Items) Determination 2020 </w:t>
      </w:r>
      <w:r w:rsidRPr="00894A4C">
        <w:rPr>
          <w:color w:val="000000"/>
        </w:rPr>
        <w:t xml:space="preserve">is to extend the availability of the items for six months until 31 March 2021. This extension accords with </w:t>
      </w:r>
      <w:r w:rsidR="00755A5A" w:rsidRPr="00894A4C">
        <w:rPr>
          <w:color w:val="000000"/>
        </w:rPr>
        <w:t xml:space="preserve">the </w:t>
      </w:r>
      <w:r w:rsidRPr="00894A4C">
        <w:rPr>
          <w:color w:val="000000"/>
        </w:rPr>
        <w:t>advice of the Australian Health Protection Principal Committee which recommended an extension of the temporary access to Medicare benefits for telehealth and phone consultation items and specific COVID-19 pathology testing items to enable quarantine and infection control measures.</w:t>
      </w:r>
    </w:p>
    <w:p w14:paraId="54908595" w14:textId="77777777" w:rsidR="00CB31C9" w:rsidRPr="00894A4C" w:rsidRDefault="00CB31C9" w:rsidP="00CB31C9">
      <w:pPr>
        <w:pStyle w:val="Header"/>
        <w:tabs>
          <w:tab w:val="num" w:pos="1080"/>
        </w:tabs>
        <w:rPr>
          <w:color w:val="000000"/>
        </w:rPr>
      </w:pPr>
    </w:p>
    <w:p w14:paraId="13163D70" w14:textId="02F83F3A" w:rsidR="003F10FE" w:rsidRPr="00894A4C" w:rsidRDefault="003F10FE" w:rsidP="00CB31C9">
      <w:pPr>
        <w:pStyle w:val="Header"/>
        <w:tabs>
          <w:tab w:val="num" w:pos="1080"/>
        </w:tabs>
        <w:rPr>
          <w:color w:val="000000"/>
        </w:rPr>
      </w:pPr>
      <w:r w:rsidRPr="00894A4C">
        <w:rPr>
          <w:color w:val="000000"/>
        </w:rPr>
        <w:t>The Determination will also make two policy changes from the existing arrangements:</w:t>
      </w:r>
    </w:p>
    <w:p w14:paraId="573FA46A" w14:textId="77777777" w:rsidR="003F10FE" w:rsidRPr="00894A4C" w:rsidRDefault="003F10FE" w:rsidP="003F10FE">
      <w:pPr>
        <w:pStyle w:val="ListParagraph"/>
        <w:numPr>
          <w:ilvl w:val="0"/>
          <w:numId w:val="38"/>
        </w:numPr>
        <w:ind w:right="-483"/>
        <w:rPr>
          <w:color w:val="000000"/>
        </w:rPr>
      </w:pPr>
      <w:r w:rsidRPr="00894A4C">
        <w:rPr>
          <w:color w:val="000000"/>
        </w:rPr>
        <w:t>The SARS-COV-2 testing item for essential workers will be expanded to include people who travel interstate as a rail crew member. This amendment will take effect upon commencement of the Determination.</w:t>
      </w:r>
    </w:p>
    <w:p w14:paraId="789DE1BC" w14:textId="4DAF3669" w:rsidR="00FA1153" w:rsidRPr="00894A4C" w:rsidRDefault="003F10FE" w:rsidP="00FA1153">
      <w:pPr>
        <w:pStyle w:val="ListParagraph"/>
        <w:numPr>
          <w:ilvl w:val="0"/>
          <w:numId w:val="38"/>
        </w:numPr>
        <w:ind w:right="-483"/>
        <w:rPr>
          <w:color w:val="000000"/>
        </w:rPr>
      </w:pPr>
      <w:r w:rsidRPr="00894A4C">
        <w:rPr>
          <w:color w:val="000000"/>
        </w:rPr>
        <w:t>The telehealth and phone consultation services provided by GPs and other doctors in general practice will be amended to remove the requirement to bulk-bill attendances for certain patients. When the amendment takes effect on 1 October 2020, these doctors will be able to choose to bulk-bill or patient bill any temporary COVID-19 telehealth and phone attendance service.</w:t>
      </w:r>
    </w:p>
    <w:p w14:paraId="2412D15C" w14:textId="3ECA7957" w:rsidR="00A17F2C" w:rsidRPr="00894A4C" w:rsidRDefault="00A17F2C" w:rsidP="00FA1153">
      <w:pPr>
        <w:spacing w:before="120" w:after="120"/>
        <w:ind w:right="-482"/>
        <w:rPr>
          <w:b/>
          <w:szCs w:val="24"/>
        </w:rPr>
      </w:pPr>
      <w:r w:rsidRPr="00894A4C">
        <w:rPr>
          <w:b/>
          <w:szCs w:val="24"/>
        </w:rPr>
        <w:t>Human rights implications</w:t>
      </w:r>
    </w:p>
    <w:p w14:paraId="449665F0" w14:textId="2ED3F54B" w:rsidR="00806020" w:rsidRPr="00894A4C" w:rsidRDefault="00806020" w:rsidP="00806020">
      <w:pPr>
        <w:spacing w:before="120" w:after="120"/>
        <w:rPr>
          <w:szCs w:val="24"/>
        </w:rPr>
      </w:pPr>
      <w:r w:rsidRPr="00894A4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894A4C" w:rsidRDefault="00A17F2C" w:rsidP="00CB31C9">
      <w:pPr>
        <w:keepNext/>
        <w:keepLines/>
        <w:spacing w:before="120" w:after="120"/>
        <w:rPr>
          <w:i/>
          <w:szCs w:val="24"/>
        </w:rPr>
      </w:pPr>
      <w:r w:rsidRPr="00894A4C">
        <w:rPr>
          <w:i/>
          <w:szCs w:val="24"/>
        </w:rPr>
        <w:lastRenderedPageBreak/>
        <w:t>The Right to Health</w:t>
      </w:r>
    </w:p>
    <w:p w14:paraId="2412D15F" w14:textId="77777777" w:rsidR="00A17F2C" w:rsidRPr="00894A4C" w:rsidRDefault="00A17F2C" w:rsidP="00CB31C9">
      <w:pPr>
        <w:keepNext/>
        <w:keepLines/>
        <w:spacing w:before="120" w:after="120"/>
        <w:rPr>
          <w:szCs w:val="24"/>
        </w:rPr>
      </w:pPr>
      <w:r w:rsidRPr="00894A4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894A4C" w:rsidRDefault="00A17F2C" w:rsidP="000337CB">
      <w:pPr>
        <w:spacing w:before="120" w:after="120"/>
        <w:rPr>
          <w:szCs w:val="24"/>
        </w:rPr>
      </w:pPr>
      <w:r w:rsidRPr="00894A4C">
        <w:rPr>
          <w:szCs w:val="24"/>
        </w:rPr>
        <w:t xml:space="preserve">The Committee reports that the </w:t>
      </w:r>
      <w:r w:rsidRPr="00894A4C">
        <w:rPr>
          <w:i/>
          <w:szCs w:val="24"/>
        </w:rPr>
        <w:t>‘highest attainable standard of health’</w:t>
      </w:r>
      <w:r w:rsidRPr="00894A4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894A4C" w:rsidRDefault="00A17F2C" w:rsidP="000337CB">
      <w:pPr>
        <w:spacing w:before="120" w:after="120"/>
        <w:rPr>
          <w:i/>
          <w:szCs w:val="24"/>
        </w:rPr>
      </w:pPr>
      <w:r w:rsidRPr="00894A4C">
        <w:rPr>
          <w:i/>
          <w:szCs w:val="24"/>
        </w:rPr>
        <w:t xml:space="preserve">The Right to Social Security </w:t>
      </w:r>
    </w:p>
    <w:p w14:paraId="2412D162" w14:textId="77777777" w:rsidR="00A17F2C" w:rsidRPr="00894A4C" w:rsidRDefault="00A17F2C" w:rsidP="000337CB">
      <w:pPr>
        <w:spacing w:before="120" w:after="120"/>
        <w:rPr>
          <w:szCs w:val="24"/>
        </w:rPr>
      </w:pPr>
      <w:r w:rsidRPr="00894A4C">
        <w:rPr>
          <w:szCs w:val="24"/>
        </w:rPr>
        <w:t>The right to social security is contained in Article 9 of the ICESCR. It requires that a country must, within its maximum available resources, ensure access to a social security scheme that</w:t>
      </w:r>
      <w:r w:rsidR="00BA69CB" w:rsidRPr="00894A4C">
        <w:rPr>
          <w:szCs w:val="24"/>
        </w:rPr>
        <w:t xml:space="preserve"> </w:t>
      </w:r>
      <w:r w:rsidRPr="00894A4C">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894A4C" w:rsidRDefault="00A17F2C" w:rsidP="000337CB">
      <w:pPr>
        <w:spacing w:before="120" w:after="120"/>
        <w:rPr>
          <w:szCs w:val="24"/>
        </w:rPr>
      </w:pPr>
      <w:r w:rsidRPr="00894A4C">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894A4C" w:rsidRDefault="00A17F2C" w:rsidP="000337CB">
      <w:pPr>
        <w:spacing w:before="120" w:after="120"/>
        <w:rPr>
          <w:szCs w:val="24"/>
          <w:u w:val="single"/>
        </w:rPr>
      </w:pPr>
      <w:r w:rsidRPr="00894A4C">
        <w:rPr>
          <w:szCs w:val="24"/>
          <w:u w:val="single"/>
        </w:rPr>
        <w:t xml:space="preserve">Analysis </w:t>
      </w:r>
    </w:p>
    <w:p w14:paraId="515EE956" w14:textId="29021FDB" w:rsidR="00EE3989" w:rsidRPr="00894A4C" w:rsidRDefault="007E3B27" w:rsidP="00302F5C">
      <w:pPr>
        <w:rPr>
          <w:szCs w:val="24"/>
        </w:rPr>
      </w:pPr>
      <w:r w:rsidRPr="00894A4C">
        <w:rPr>
          <w:szCs w:val="24"/>
        </w:rPr>
        <w:t>This instrument advances the right to health and the right to social security by extending</w:t>
      </w:r>
      <w:r w:rsidR="00EE3989" w:rsidRPr="00894A4C">
        <w:rPr>
          <w:szCs w:val="24"/>
        </w:rPr>
        <w:t xml:space="preserve"> the availability of the temporary </w:t>
      </w:r>
      <w:r w:rsidR="00AD47A9" w:rsidRPr="00894A4C">
        <w:rPr>
          <w:szCs w:val="24"/>
        </w:rPr>
        <w:t>telehealth and phone consultation items and specific COVID-19 pathology testing items to enable quarantine and infection control measures.</w:t>
      </w:r>
      <w:r w:rsidR="00EE3989" w:rsidRPr="00894A4C">
        <w:rPr>
          <w:szCs w:val="24"/>
        </w:rPr>
        <w:t xml:space="preserve"> Although this instrument removes the requirement that GPs and other doctors in general practice must bulk-bill attendances for certain patients, this change was considered necessary to support the continued viability of these sectors during the COVID-19 pandemic. The change is also consistent with the billing arrangements for the equivalent face-to-face services under Medicare. It will be at the discretion of the individual health professional to determine their own billing arrangements. This includes choosing to bulk-bill a service at no cost to the patient.</w:t>
      </w:r>
    </w:p>
    <w:p w14:paraId="2412D166" w14:textId="1973400E" w:rsidR="00A17F2C" w:rsidRPr="00894A4C" w:rsidRDefault="00A17F2C" w:rsidP="004B7CB9">
      <w:pPr>
        <w:spacing w:before="120" w:after="120" w:line="276" w:lineRule="auto"/>
        <w:rPr>
          <w:rFonts w:eastAsia="Calibri"/>
          <w:b/>
          <w:szCs w:val="24"/>
          <w:lang w:eastAsia="en-US"/>
        </w:rPr>
      </w:pPr>
      <w:r w:rsidRPr="00894A4C">
        <w:rPr>
          <w:rFonts w:eastAsia="Calibri"/>
          <w:b/>
          <w:szCs w:val="24"/>
          <w:lang w:eastAsia="en-US"/>
        </w:rPr>
        <w:t xml:space="preserve">Conclusion </w:t>
      </w:r>
    </w:p>
    <w:p w14:paraId="2412D167" w14:textId="3EE1A13C" w:rsidR="00A17F2C" w:rsidRPr="00894A4C" w:rsidRDefault="006E6BBF" w:rsidP="000337CB">
      <w:pPr>
        <w:rPr>
          <w:color w:val="FF0000"/>
          <w:szCs w:val="24"/>
        </w:rPr>
      </w:pPr>
      <w:r w:rsidRPr="00894A4C">
        <w:rPr>
          <w:szCs w:val="24"/>
        </w:rPr>
        <w:t xml:space="preserve">This </w:t>
      </w:r>
      <w:r w:rsidR="007E3B27" w:rsidRPr="00894A4C">
        <w:rPr>
          <w:szCs w:val="24"/>
        </w:rPr>
        <w:t xml:space="preserve">instrument is compatible with human rights as it </w:t>
      </w:r>
      <w:r w:rsidR="00CB31C9" w:rsidRPr="00894A4C">
        <w:rPr>
          <w:szCs w:val="24"/>
        </w:rPr>
        <w:t xml:space="preserve">advances </w:t>
      </w:r>
      <w:r w:rsidR="007E3B27" w:rsidRPr="00894A4C">
        <w:rPr>
          <w:szCs w:val="24"/>
        </w:rPr>
        <w:t>the right to health and the right to social security.</w:t>
      </w:r>
      <w:r w:rsidR="00EE3989" w:rsidRPr="00894A4C">
        <w:rPr>
          <w:szCs w:val="24"/>
        </w:rPr>
        <w:t xml:space="preserve"> </w:t>
      </w:r>
    </w:p>
    <w:p w14:paraId="2412D168" w14:textId="77777777" w:rsidR="00F15284" w:rsidRPr="00894A4C" w:rsidRDefault="00F15284" w:rsidP="000337CB">
      <w:pPr>
        <w:rPr>
          <w:rFonts w:eastAsia="Calibri"/>
          <w:szCs w:val="24"/>
          <w:lang w:eastAsia="en-US"/>
        </w:rPr>
      </w:pPr>
    </w:p>
    <w:p w14:paraId="75A46380" w14:textId="77777777" w:rsidR="00C67BC7" w:rsidRPr="00894A4C" w:rsidRDefault="00C67BC7" w:rsidP="000F2948">
      <w:pPr>
        <w:jc w:val="center"/>
        <w:rPr>
          <w:b/>
          <w:bCs/>
        </w:rPr>
      </w:pPr>
    </w:p>
    <w:p w14:paraId="1998E06F" w14:textId="77777777" w:rsidR="007E3B27" w:rsidRPr="00894A4C" w:rsidRDefault="007E3B27" w:rsidP="001B6095">
      <w:pPr>
        <w:shd w:val="clear" w:color="auto" w:fill="FFFFFF"/>
        <w:spacing w:line="240" w:lineRule="atLeast"/>
        <w:ind w:right="-23"/>
        <w:jc w:val="center"/>
        <w:rPr>
          <w:b/>
          <w:szCs w:val="22"/>
        </w:rPr>
      </w:pPr>
      <w:r w:rsidRPr="00894A4C">
        <w:rPr>
          <w:b/>
          <w:szCs w:val="22"/>
        </w:rPr>
        <w:t xml:space="preserve">Paul McBride </w:t>
      </w:r>
    </w:p>
    <w:p w14:paraId="6D890DFE" w14:textId="77777777" w:rsidR="007E3B27" w:rsidRPr="00894A4C" w:rsidRDefault="007E3B27" w:rsidP="001B6095">
      <w:pPr>
        <w:shd w:val="clear" w:color="auto" w:fill="FFFFFF"/>
        <w:spacing w:line="240" w:lineRule="atLeast"/>
        <w:ind w:right="-23"/>
        <w:jc w:val="center"/>
        <w:rPr>
          <w:b/>
          <w:szCs w:val="22"/>
        </w:rPr>
      </w:pPr>
      <w:r w:rsidRPr="00894A4C">
        <w:rPr>
          <w:b/>
          <w:szCs w:val="22"/>
        </w:rPr>
        <w:t xml:space="preserve">First Assistant Secretary </w:t>
      </w:r>
    </w:p>
    <w:p w14:paraId="68A67DAC" w14:textId="77777777" w:rsidR="007E3B27" w:rsidRPr="00894A4C" w:rsidRDefault="007E3B27" w:rsidP="001B6095">
      <w:pPr>
        <w:shd w:val="clear" w:color="auto" w:fill="FFFFFF"/>
        <w:spacing w:line="240" w:lineRule="atLeast"/>
        <w:ind w:right="-23"/>
        <w:jc w:val="center"/>
        <w:rPr>
          <w:b/>
          <w:szCs w:val="22"/>
        </w:rPr>
      </w:pPr>
      <w:r w:rsidRPr="00894A4C">
        <w:rPr>
          <w:b/>
          <w:szCs w:val="22"/>
        </w:rPr>
        <w:t xml:space="preserve">Medical Benefits Division </w:t>
      </w:r>
    </w:p>
    <w:p w14:paraId="42E9857F" w14:textId="5368EE7C" w:rsidR="001B6095" w:rsidRPr="00894A4C" w:rsidRDefault="007E3B27" w:rsidP="001B6095">
      <w:pPr>
        <w:shd w:val="clear" w:color="auto" w:fill="FFFFFF"/>
        <w:spacing w:line="240" w:lineRule="atLeast"/>
        <w:ind w:right="-23"/>
        <w:jc w:val="center"/>
        <w:rPr>
          <w:b/>
          <w:szCs w:val="22"/>
        </w:rPr>
      </w:pPr>
      <w:r w:rsidRPr="00894A4C">
        <w:rPr>
          <w:b/>
          <w:szCs w:val="22"/>
        </w:rPr>
        <w:t xml:space="preserve">Health </w:t>
      </w:r>
      <w:r w:rsidR="00755A5A" w:rsidRPr="00894A4C">
        <w:rPr>
          <w:b/>
          <w:szCs w:val="22"/>
        </w:rPr>
        <w:t>Resourcing</w:t>
      </w:r>
      <w:r w:rsidRPr="00894A4C">
        <w:rPr>
          <w:b/>
          <w:szCs w:val="22"/>
        </w:rPr>
        <w:t xml:space="preserve"> Group </w:t>
      </w:r>
    </w:p>
    <w:p w14:paraId="2412D16E" w14:textId="1D75709D" w:rsidR="00636C51" w:rsidRPr="007E3B27" w:rsidRDefault="000F2948" w:rsidP="001B6095">
      <w:pPr>
        <w:jc w:val="center"/>
        <w:rPr>
          <w:rFonts w:eastAsia="Calibri"/>
          <w:b/>
          <w:szCs w:val="24"/>
          <w:lang w:eastAsia="en-US"/>
        </w:rPr>
      </w:pPr>
      <w:r w:rsidRPr="00894A4C">
        <w:rPr>
          <w:b/>
          <w:bCs/>
        </w:rPr>
        <w:t>Department of Health</w:t>
      </w:r>
      <w:bookmarkStart w:id="0" w:name="_GoBack"/>
      <w:bookmarkEnd w:id="0"/>
    </w:p>
    <w:sectPr w:rsidR="00636C51" w:rsidRPr="007E3B27"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3E2D3A0A" w:rsidR="00A1739A" w:rsidRDefault="00A1739A" w:rsidP="00BD6F5F">
    <w:pPr>
      <w:pStyle w:val="Header"/>
      <w:jc w:val="center"/>
    </w:pPr>
    <w:r>
      <w:fldChar w:fldCharType="begin"/>
    </w:r>
    <w:r>
      <w:instrText xml:space="preserve"> PAGE  \* Arabic  \* MERGEFORMAT </w:instrText>
    </w:r>
    <w:r>
      <w:fldChar w:fldCharType="separate"/>
    </w:r>
    <w:r w:rsidR="00894A4C">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E83FAA5" w:rsidR="00E23B6B" w:rsidRDefault="00E23B6B">
        <w:pPr>
          <w:pStyle w:val="Header"/>
          <w:jc w:val="center"/>
        </w:pPr>
        <w:r>
          <w:fldChar w:fldCharType="begin"/>
        </w:r>
        <w:r>
          <w:instrText xml:space="preserve"> PAGE   \* MERGEFORMAT </w:instrText>
        </w:r>
        <w:r>
          <w:fldChar w:fldCharType="separate"/>
        </w:r>
        <w:r w:rsidR="00894A4C">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8DE8BD5" w:rsidR="00E23B6B" w:rsidRDefault="00E23B6B">
        <w:pPr>
          <w:pStyle w:val="Header"/>
          <w:jc w:val="center"/>
        </w:pPr>
        <w:r>
          <w:fldChar w:fldCharType="begin"/>
        </w:r>
        <w:r>
          <w:instrText xml:space="preserve"> PAGE   \* MERGEFORMAT </w:instrText>
        </w:r>
        <w:r>
          <w:fldChar w:fldCharType="separate"/>
        </w:r>
        <w:r w:rsidR="00894A4C">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537DFE"/>
    <w:multiLevelType w:val="hybridMultilevel"/>
    <w:tmpl w:val="80D4A7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B4986"/>
    <w:multiLevelType w:val="hybridMultilevel"/>
    <w:tmpl w:val="AB48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204DA"/>
    <w:multiLevelType w:val="hybridMultilevel"/>
    <w:tmpl w:val="B778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10141"/>
    <w:multiLevelType w:val="hybridMultilevel"/>
    <w:tmpl w:val="9E5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3"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BD6908"/>
    <w:multiLevelType w:val="hybridMultilevel"/>
    <w:tmpl w:val="69A8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0248A9"/>
    <w:multiLevelType w:val="hybridMultilevel"/>
    <w:tmpl w:val="C8EE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
  </w:num>
  <w:num w:numId="4">
    <w:abstractNumId w:val="13"/>
  </w:num>
  <w:num w:numId="5">
    <w:abstractNumId w:val="21"/>
  </w:num>
  <w:num w:numId="6">
    <w:abstractNumId w:val="11"/>
  </w:num>
  <w:num w:numId="7">
    <w:abstractNumId w:val="32"/>
  </w:num>
  <w:num w:numId="8">
    <w:abstractNumId w:val="7"/>
  </w:num>
  <w:num w:numId="9">
    <w:abstractNumId w:val="6"/>
  </w:num>
  <w:num w:numId="10">
    <w:abstractNumId w:val="35"/>
  </w:num>
  <w:num w:numId="11">
    <w:abstractNumId w:val="31"/>
  </w:num>
  <w:num w:numId="12">
    <w:abstractNumId w:val="14"/>
  </w:num>
  <w:num w:numId="13">
    <w:abstractNumId w:val="16"/>
  </w:num>
  <w:num w:numId="14">
    <w:abstractNumId w:val="29"/>
  </w:num>
  <w:num w:numId="15">
    <w:abstractNumId w:val="8"/>
  </w:num>
  <w:num w:numId="16">
    <w:abstractNumId w:val="23"/>
  </w:num>
  <w:num w:numId="17">
    <w:abstractNumId w:val="26"/>
  </w:num>
  <w:num w:numId="18">
    <w:abstractNumId w:val="24"/>
  </w:num>
  <w:num w:numId="19">
    <w:abstractNumId w:val="4"/>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0"/>
  </w:num>
  <w:num w:numId="26">
    <w:abstractNumId w:val="5"/>
  </w:num>
  <w:num w:numId="27">
    <w:abstractNumId w:val="17"/>
  </w:num>
  <w:num w:numId="28">
    <w:abstractNumId w:val="34"/>
  </w:num>
  <w:num w:numId="29">
    <w:abstractNumId w:val="19"/>
  </w:num>
  <w:num w:numId="30">
    <w:abstractNumId w:val="30"/>
  </w:num>
  <w:num w:numId="31">
    <w:abstractNumId w:val="15"/>
  </w:num>
  <w:num w:numId="32">
    <w:abstractNumId w:val="28"/>
  </w:num>
  <w:num w:numId="33">
    <w:abstractNumId w:val="36"/>
  </w:num>
  <w:num w:numId="34">
    <w:abstractNumId w:val="33"/>
  </w:num>
  <w:num w:numId="35">
    <w:abstractNumId w:val="3"/>
  </w:num>
  <w:num w:numId="36">
    <w:abstractNumId w:val="20"/>
  </w:num>
  <w:num w:numId="37">
    <w:abstractNumId w:val="18"/>
  </w:num>
  <w:num w:numId="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87"/>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7ABF"/>
    <w:rsid w:val="0009514A"/>
    <w:rsid w:val="000969EF"/>
    <w:rsid w:val="000A199B"/>
    <w:rsid w:val="000A31F2"/>
    <w:rsid w:val="000A45BE"/>
    <w:rsid w:val="000A467F"/>
    <w:rsid w:val="000A54E3"/>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78A"/>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0FA8"/>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1A"/>
    <w:rsid w:val="001C1B86"/>
    <w:rsid w:val="001C35BC"/>
    <w:rsid w:val="001C51D8"/>
    <w:rsid w:val="001C5FC1"/>
    <w:rsid w:val="001C6713"/>
    <w:rsid w:val="001C75A1"/>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5F2A"/>
    <w:rsid w:val="00236DF2"/>
    <w:rsid w:val="002402DD"/>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97F48"/>
    <w:rsid w:val="002A0CC8"/>
    <w:rsid w:val="002A1E2C"/>
    <w:rsid w:val="002A3243"/>
    <w:rsid w:val="002A5CDF"/>
    <w:rsid w:val="002A68B3"/>
    <w:rsid w:val="002A6C77"/>
    <w:rsid w:val="002B2AC5"/>
    <w:rsid w:val="002B2E78"/>
    <w:rsid w:val="002B49DE"/>
    <w:rsid w:val="002B4E4D"/>
    <w:rsid w:val="002B53D3"/>
    <w:rsid w:val="002B7177"/>
    <w:rsid w:val="002C13ED"/>
    <w:rsid w:val="002C1BFE"/>
    <w:rsid w:val="002C2D1F"/>
    <w:rsid w:val="002C4F5B"/>
    <w:rsid w:val="002C54A1"/>
    <w:rsid w:val="002C5DCD"/>
    <w:rsid w:val="002D03AB"/>
    <w:rsid w:val="002D2A4E"/>
    <w:rsid w:val="002D45AB"/>
    <w:rsid w:val="002D5294"/>
    <w:rsid w:val="002D59E0"/>
    <w:rsid w:val="002D5DFC"/>
    <w:rsid w:val="002D5E92"/>
    <w:rsid w:val="002D6269"/>
    <w:rsid w:val="002D629A"/>
    <w:rsid w:val="002E12C3"/>
    <w:rsid w:val="002E3493"/>
    <w:rsid w:val="002E35BF"/>
    <w:rsid w:val="002E5708"/>
    <w:rsid w:val="002E5F5C"/>
    <w:rsid w:val="002E6FD5"/>
    <w:rsid w:val="002E7D24"/>
    <w:rsid w:val="002E7D88"/>
    <w:rsid w:val="002F0434"/>
    <w:rsid w:val="002F1707"/>
    <w:rsid w:val="002F2F33"/>
    <w:rsid w:val="002F3A26"/>
    <w:rsid w:val="002F449C"/>
    <w:rsid w:val="002F4CD2"/>
    <w:rsid w:val="002F6069"/>
    <w:rsid w:val="002F70B1"/>
    <w:rsid w:val="002F7549"/>
    <w:rsid w:val="00301D49"/>
    <w:rsid w:val="003025C7"/>
    <w:rsid w:val="00302F5C"/>
    <w:rsid w:val="00303DFF"/>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562E"/>
    <w:rsid w:val="00386C22"/>
    <w:rsid w:val="003876E6"/>
    <w:rsid w:val="0039170C"/>
    <w:rsid w:val="00391AFA"/>
    <w:rsid w:val="003937EF"/>
    <w:rsid w:val="00393E9B"/>
    <w:rsid w:val="00396DDE"/>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10C"/>
    <w:rsid w:val="003C7719"/>
    <w:rsid w:val="003D0FBD"/>
    <w:rsid w:val="003D2A6D"/>
    <w:rsid w:val="003E005B"/>
    <w:rsid w:val="003E04DA"/>
    <w:rsid w:val="003E1249"/>
    <w:rsid w:val="003E3544"/>
    <w:rsid w:val="003E35A8"/>
    <w:rsid w:val="003E4F2D"/>
    <w:rsid w:val="003E57BE"/>
    <w:rsid w:val="003E77CB"/>
    <w:rsid w:val="003E7F81"/>
    <w:rsid w:val="003F10FE"/>
    <w:rsid w:val="003F1ABA"/>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47518"/>
    <w:rsid w:val="0045189C"/>
    <w:rsid w:val="00451A88"/>
    <w:rsid w:val="004524A0"/>
    <w:rsid w:val="00456B1D"/>
    <w:rsid w:val="0046022A"/>
    <w:rsid w:val="004602A2"/>
    <w:rsid w:val="004636B4"/>
    <w:rsid w:val="004641DC"/>
    <w:rsid w:val="00464AC7"/>
    <w:rsid w:val="004669A4"/>
    <w:rsid w:val="00466A5B"/>
    <w:rsid w:val="0046799A"/>
    <w:rsid w:val="00471EB0"/>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2BAE"/>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1464"/>
    <w:rsid w:val="004E22A7"/>
    <w:rsid w:val="004E39E6"/>
    <w:rsid w:val="004E71DC"/>
    <w:rsid w:val="004E7F97"/>
    <w:rsid w:val="004F1563"/>
    <w:rsid w:val="004F20B0"/>
    <w:rsid w:val="004F4BAD"/>
    <w:rsid w:val="004F7682"/>
    <w:rsid w:val="004F7B0C"/>
    <w:rsid w:val="005012BC"/>
    <w:rsid w:val="00502156"/>
    <w:rsid w:val="00502277"/>
    <w:rsid w:val="005042B5"/>
    <w:rsid w:val="00504ECC"/>
    <w:rsid w:val="00505C67"/>
    <w:rsid w:val="00505F9A"/>
    <w:rsid w:val="00510A4F"/>
    <w:rsid w:val="005119E9"/>
    <w:rsid w:val="00512A65"/>
    <w:rsid w:val="005130BE"/>
    <w:rsid w:val="005140F2"/>
    <w:rsid w:val="0051709B"/>
    <w:rsid w:val="0052165A"/>
    <w:rsid w:val="00521802"/>
    <w:rsid w:val="0052430B"/>
    <w:rsid w:val="00525D51"/>
    <w:rsid w:val="00527671"/>
    <w:rsid w:val="00527F0C"/>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4CB"/>
    <w:rsid w:val="00582B3F"/>
    <w:rsid w:val="00583643"/>
    <w:rsid w:val="00584CCF"/>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1D56"/>
    <w:rsid w:val="005D3575"/>
    <w:rsid w:val="005D3CED"/>
    <w:rsid w:val="005D3FA3"/>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45CA"/>
    <w:rsid w:val="00627C91"/>
    <w:rsid w:val="00635031"/>
    <w:rsid w:val="006357FF"/>
    <w:rsid w:val="006369D4"/>
    <w:rsid w:val="00636C51"/>
    <w:rsid w:val="006407FA"/>
    <w:rsid w:val="00642537"/>
    <w:rsid w:val="006427B2"/>
    <w:rsid w:val="00642BEB"/>
    <w:rsid w:val="00647426"/>
    <w:rsid w:val="00647590"/>
    <w:rsid w:val="006526F5"/>
    <w:rsid w:val="00656275"/>
    <w:rsid w:val="006564C4"/>
    <w:rsid w:val="00657702"/>
    <w:rsid w:val="006619F5"/>
    <w:rsid w:val="006629F9"/>
    <w:rsid w:val="006639F0"/>
    <w:rsid w:val="0066562D"/>
    <w:rsid w:val="0066727B"/>
    <w:rsid w:val="00670998"/>
    <w:rsid w:val="00672050"/>
    <w:rsid w:val="00673872"/>
    <w:rsid w:val="00674A34"/>
    <w:rsid w:val="00685515"/>
    <w:rsid w:val="0068642A"/>
    <w:rsid w:val="00690D79"/>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6918"/>
    <w:rsid w:val="006C7491"/>
    <w:rsid w:val="006C761B"/>
    <w:rsid w:val="006C76B5"/>
    <w:rsid w:val="006D03ED"/>
    <w:rsid w:val="006D2B37"/>
    <w:rsid w:val="006D3D81"/>
    <w:rsid w:val="006D46A1"/>
    <w:rsid w:val="006D4AA4"/>
    <w:rsid w:val="006D54FB"/>
    <w:rsid w:val="006D5816"/>
    <w:rsid w:val="006D627E"/>
    <w:rsid w:val="006D62D4"/>
    <w:rsid w:val="006E0B39"/>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36ACF"/>
    <w:rsid w:val="00741A4E"/>
    <w:rsid w:val="00742E97"/>
    <w:rsid w:val="007452E0"/>
    <w:rsid w:val="00745BD4"/>
    <w:rsid w:val="00750378"/>
    <w:rsid w:val="007505FB"/>
    <w:rsid w:val="007524B0"/>
    <w:rsid w:val="00752997"/>
    <w:rsid w:val="007533EC"/>
    <w:rsid w:val="00755A5A"/>
    <w:rsid w:val="00756FEA"/>
    <w:rsid w:val="00757618"/>
    <w:rsid w:val="007614DB"/>
    <w:rsid w:val="00762065"/>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0FA"/>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4B3"/>
    <w:rsid w:val="007C6927"/>
    <w:rsid w:val="007C7403"/>
    <w:rsid w:val="007C767F"/>
    <w:rsid w:val="007C79FB"/>
    <w:rsid w:val="007D3891"/>
    <w:rsid w:val="007D4584"/>
    <w:rsid w:val="007D45AC"/>
    <w:rsid w:val="007D4A14"/>
    <w:rsid w:val="007E0017"/>
    <w:rsid w:val="007E0D9D"/>
    <w:rsid w:val="007E3B27"/>
    <w:rsid w:val="007E4B14"/>
    <w:rsid w:val="007E4B4C"/>
    <w:rsid w:val="007E7ABF"/>
    <w:rsid w:val="007F0907"/>
    <w:rsid w:val="007F0D24"/>
    <w:rsid w:val="007F10B5"/>
    <w:rsid w:val="007F1C81"/>
    <w:rsid w:val="007F6ABA"/>
    <w:rsid w:val="0080144C"/>
    <w:rsid w:val="00801B90"/>
    <w:rsid w:val="0080293E"/>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19D1"/>
    <w:rsid w:val="008734F5"/>
    <w:rsid w:val="00873F63"/>
    <w:rsid w:val="00874DE6"/>
    <w:rsid w:val="00875104"/>
    <w:rsid w:val="008774D2"/>
    <w:rsid w:val="00880E40"/>
    <w:rsid w:val="00883771"/>
    <w:rsid w:val="00883C9D"/>
    <w:rsid w:val="00883EFE"/>
    <w:rsid w:val="008869CA"/>
    <w:rsid w:val="008870CD"/>
    <w:rsid w:val="008905BA"/>
    <w:rsid w:val="0089375C"/>
    <w:rsid w:val="00894A4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50CC"/>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5F7C"/>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5D21"/>
    <w:rsid w:val="009B7AE2"/>
    <w:rsid w:val="009C1D14"/>
    <w:rsid w:val="009C3EB5"/>
    <w:rsid w:val="009C42BD"/>
    <w:rsid w:val="009C444B"/>
    <w:rsid w:val="009C6248"/>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322D"/>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6DD6"/>
    <w:rsid w:val="00AC046B"/>
    <w:rsid w:val="00AC1E16"/>
    <w:rsid w:val="00AC1EDB"/>
    <w:rsid w:val="00AC3A0C"/>
    <w:rsid w:val="00AC3EEC"/>
    <w:rsid w:val="00AC50EE"/>
    <w:rsid w:val="00AC54F8"/>
    <w:rsid w:val="00AC57A5"/>
    <w:rsid w:val="00AC681D"/>
    <w:rsid w:val="00AC6FF1"/>
    <w:rsid w:val="00AD0F67"/>
    <w:rsid w:val="00AD1A30"/>
    <w:rsid w:val="00AD47A9"/>
    <w:rsid w:val="00AD7E8E"/>
    <w:rsid w:val="00AE0487"/>
    <w:rsid w:val="00AE0F81"/>
    <w:rsid w:val="00AE330D"/>
    <w:rsid w:val="00AE7A51"/>
    <w:rsid w:val="00AF061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2033"/>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660A5"/>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21EF"/>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2E81"/>
    <w:rsid w:val="00BC459E"/>
    <w:rsid w:val="00BC4AAE"/>
    <w:rsid w:val="00BC5DCD"/>
    <w:rsid w:val="00BC626B"/>
    <w:rsid w:val="00BC7397"/>
    <w:rsid w:val="00BD0628"/>
    <w:rsid w:val="00BD304A"/>
    <w:rsid w:val="00BD5A94"/>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41A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31C9"/>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0394"/>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95F"/>
    <w:rsid w:val="00DE0FF8"/>
    <w:rsid w:val="00DE3EBF"/>
    <w:rsid w:val="00DE6D39"/>
    <w:rsid w:val="00DE7345"/>
    <w:rsid w:val="00DE76EB"/>
    <w:rsid w:val="00DF51CA"/>
    <w:rsid w:val="00DF5581"/>
    <w:rsid w:val="00DF7501"/>
    <w:rsid w:val="00DF7936"/>
    <w:rsid w:val="00E004EF"/>
    <w:rsid w:val="00E04B6F"/>
    <w:rsid w:val="00E1319B"/>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017C"/>
    <w:rsid w:val="00EB2F51"/>
    <w:rsid w:val="00EB3BF0"/>
    <w:rsid w:val="00EB4DA6"/>
    <w:rsid w:val="00EB601D"/>
    <w:rsid w:val="00EB6CCD"/>
    <w:rsid w:val="00EC0273"/>
    <w:rsid w:val="00EC25BA"/>
    <w:rsid w:val="00ED0752"/>
    <w:rsid w:val="00ED0AD5"/>
    <w:rsid w:val="00ED1DE2"/>
    <w:rsid w:val="00ED1F31"/>
    <w:rsid w:val="00ED3630"/>
    <w:rsid w:val="00ED7140"/>
    <w:rsid w:val="00ED77E5"/>
    <w:rsid w:val="00EE026E"/>
    <w:rsid w:val="00EE3989"/>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1153"/>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A29"/>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457">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39223440">
      <w:bodyDiv w:val="1"/>
      <w:marLeft w:val="0"/>
      <w:marRight w:val="0"/>
      <w:marTop w:val="0"/>
      <w:marBottom w:val="0"/>
      <w:divBdr>
        <w:top w:val="none" w:sz="0" w:space="0" w:color="auto"/>
        <w:left w:val="none" w:sz="0" w:space="0" w:color="auto"/>
        <w:bottom w:val="none" w:sz="0" w:space="0" w:color="auto"/>
        <w:right w:val="none" w:sz="0" w:space="0" w:color="auto"/>
      </w:divBdr>
      <w:divsChild>
        <w:div w:id="356934080">
          <w:marLeft w:val="0"/>
          <w:marRight w:val="0"/>
          <w:marTop w:val="0"/>
          <w:marBottom w:val="0"/>
          <w:divBdr>
            <w:top w:val="none" w:sz="0" w:space="0" w:color="auto"/>
            <w:left w:val="none" w:sz="0" w:space="0" w:color="auto"/>
            <w:bottom w:val="none" w:sz="0" w:space="0" w:color="auto"/>
            <w:right w:val="none" w:sz="0" w:space="0" w:color="auto"/>
          </w:divBdr>
          <w:divsChild>
            <w:div w:id="1425375075">
              <w:marLeft w:val="0"/>
              <w:marRight w:val="0"/>
              <w:marTop w:val="0"/>
              <w:marBottom w:val="0"/>
              <w:divBdr>
                <w:top w:val="none" w:sz="0" w:space="0" w:color="auto"/>
                <w:left w:val="none" w:sz="0" w:space="0" w:color="auto"/>
                <w:bottom w:val="none" w:sz="0" w:space="0" w:color="auto"/>
                <w:right w:val="none" w:sz="0" w:space="0" w:color="auto"/>
              </w:divBdr>
              <w:divsChild>
                <w:div w:id="693455419">
                  <w:marLeft w:val="0"/>
                  <w:marRight w:val="0"/>
                  <w:marTop w:val="0"/>
                  <w:marBottom w:val="0"/>
                  <w:divBdr>
                    <w:top w:val="none" w:sz="0" w:space="0" w:color="auto"/>
                    <w:left w:val="none" w:sz="0" w:space="0" w:color="auto"/>
                    <w:bottom w:val="none" w:sz="0" w:space="0" w:color="auto"/>
                    <w:right w:val="none" w:sz="0" w:space="0" w:color="auto"/>
                  </w:divBdr>
                  <w:divsChild>
                    <w:div w:id="457576153">
                      <w:marLeft w:val="0"/>
                      <w:marRight w:val="0"/>
                      <w:marTop w:val="0"/>
                      <w:marBottom w:val="0"/>
                      <w:divBdr>
                        <w:top w:val="none" w:sz="0" w:space="0" w:color="auto"/>
                        <w:left w:val="none" w:sz="0" w:space="0" w:color="auto"/>
                        <w:bottom w:val="none" w:sz="0" w:space="0" w:color="auto"/>
                        <w:right w:val="none" w:sz="0" w:space="0" w:color="auto"/>
                      </w:divBdr>
                      <w:divsChild>
                        <w:div w:id="1111243447">
                          <w:marLeft w:val="0"/>
                          <w:marRight w:val="0"/>
                          <w:marTop w:val="0"/>
                          <w:marBottom w:val="0"/>
                          <w:divBdr>
                            <w:top w:val="none" w:sz="0" w:space="0" w:color="auto"/>
                            <w:left w:val="none" w:sz="0" w:space="0" w:color="auto"/>
                            <w:bottom w:val="none" w:sz="0" w:space="0" w:color="auto"/>
                            <w:right w:val="none" w:sz="0" w:space="0" w:color="auto"/>
                          </w:divBdr>
                          <w:divsChild>
                            <w:div w:id="1162814668">
                              <w:marLeft w:val="0"/>
                              <w:marRight w:val="0"/>
                              <w:marTop w:val="0"/>
                              <w:marBottom w:val="0"/>
                              <w:divBdr>
                                <w:top w:val="none" w:sz="0" w:space="0" w:color="auto"/>
                                <w:left w:val="none" w:sz="0" w:space="0" w:color="auto"/>
                                <w:bottom w:val="none" w:sz="0" w:space="0" w:color="auto"/>
                                <w:right w:val="none" w:sz="0" w:space="0" w:color="auto"/>
                              </w:divBdr>
                              <w:divsChild>
                                <w:div w:id="522324210">
                                  <w:marLeft w:val="0"/>
                                  <w:marRight w:val="0"/>
                                  <w:marTop w:val="0"/>
                                  <w:marBottom w:val="0"/>
                                  <w:divBdr>
                                    <w:top w:val="none" w:sz="0" w:space="0" w:color="auto"/>
                                    <w:left w:val="none" w:sz="0" w:space="0" w:color="auto"/>
                                    <w:bottom w:val="none" w:sz="0" w:space="0" w:color="auto"/>
                                    <w:right w:val="none" w:sz="0" w:space="0" w:color="auto"/>
                                  </w:divBdr>
                                  <w:divsChild>
                                    <w:div w:id="871964461">
                                      <w:marLeft w:val="0"/>
                                      <w:marRight w:val="0"/>
                                      <w:marTop w:val="0"/>
                                      <w:marBottom w:val="0"/>
                                      <w:divBdr>
                                        <w:top w:val="none" w:sz="0" w:space="0" w:color="auto"/>
                                        <w:left w:val="none" w:sz="0" w:space="0" w:color="auto"/>
                                        <w:bottom w:val="none" w:sz="0" w:space="0" w:color="auto"/>
                                        <w:right w:val="none" w:sz="0" w:space="0" w:color="auto"/>
                                      </w:divBdr>
                                      <w:divsChild>
                                        <w:div w:id="375277958">
                                          <w:marLeft w:val="0"/>
                                          <w:marRight w:val="0"/>
                                          <w:marTop w:val="0"/>
                                          <w:marBottom w:val="0"/>
                                          <w:divBdr>
                                            <w:top w:val="none" w:sz="0" w:space="0" w:color="auto"/>
                                            <w:left w:val="none" w:sz="0" w:space="0" w:color="auto"/>
                                            <w:bottom w:val="none" w:sz="0" w:space="0" w:color="auto"/>
                                            <w:right w:val="none" w:sz="0" w:space="0" w:color="auto"/>
                                          </w:divBdr>
                                          <w:divsChild>
                                            <w:div w:id="367876039">
                                              <w:marLeft w:val="0"/>
                                              <w:marRight w:val="0"/>
                                              <w:marTop w:val="0"/>
                                              <w:marBottom w:val="0"/>
                                              <w:divBdr>
                                                <w:top w:val="none" w:sz="0" w:space="0" w:color="auto"/>
                                                <w:left w:val="none" w:sz="0" w:space="0" w:color="auto"/>
                                                <w:bottom w:val="none" w:sz="0" w:space="0" w:color="auto"/>
                                                <w:right w:val="none" w:sz="0" w:space="0" w:color="auto"/>
                                              </w:divBdr>
                                              <w:divsChild>
                                                <w:div w:id="737559657">
                                                  <w:marLeft w:val="0"/>
                                                  <w:marRight w:val="0"/>
                                                  <w:marTop w:val="0"/>
                                                  <w:marBottom w:val="0"/>
                                                  <w:divBdr>
                                                    <w:top w:val="none" w:sz="0" w:space="0" w:color="auto"/>
                                                    <w:left w:val="none" w:sz="0" w:space="0" w:color="auto"/>
                                                    <w:bottom w:val="none" w:sz="0" w:space="0" w:color="auto"/>
                                                    <w:right w:val="none" w:sz="0" w:space="0" w:color="auto"/>
                                                  </w:divBdr>
                                                  <w:divsChild>
                                                    <w:div w:id="316685728">
                                                      <w:marLeft w:val="0"/>
                                                      <w:marRight w:val="0"/>
                                                      <w:marTop w:val="0"/>
                                                      <w:marBottom w:val="0"/>
                                                      <w:divBdr>
                                                        <w:top w:val="none" w:sz="0" w:space="0" w:color="auto"/>
                                                        <w:left w:val="none" w:sz="0" w:space="0" w:color="auto"/>
                                                        <w:bottom w:val="none" w:sz="0" w:space="0" w:color="auto"/>
                                                        <w:right w:val="none" w:sz="0" w:space="0" w:color="auto"/>
                                                      </w:divBdr>
                                                      <w:divsChild>
                                                        <w:div w:id="12987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040650">
      <w:bodyDiv w:val="1"/>
      <w:marLeft w:val="0"/>
      <w:marRight w:val="0"/>
      <w:marTop w:val="0"/>
      <w:marBottom w:val="0"/>
      <w:divBdr>
        <w:top w:val="none" w:sz="0" w:space="0" w:color="auto"/>
        <w:left w:val="none" w:sz="0" w:space="0" w:color="auto"/>
        <w:bottom w:val="none" w:sz="0" w:space="0" w:color="auto"/>
        <w:right w:val="none" w:sz="0" w:space="0" w:color="auto"/>
      </w:divBdr>
      <w:divsChild>
        <w:div w:id="1068922686">
          <w:marLeft w:val="0"/>
          <w:marRight w:val="0"/>
          <w:marTop w:val="0"/>
          <w:marBottom w:val="0"/>
          <w:divBdr>
            <w:top w:val="none" w:sz="0" w:space="0" w:color="auto"/>
            <w:left w:val="none" w:sz="0" w:space="0" w:color="auto"/>
            <w:bottom w:val="none" w:sz="0" w:space="0" w:color="auto"/>
            <w:right w:val="none" w:sz="0" w:space="0" w:color="auto"/>
          </w:divBdr>
          <w:divsChild>
            <w:div w:id="888343064">
              <w:marLeft w:val="0"/>
              <w:marRight w:val="0"/>
              <w:marTop w:val="0"/>
              <w:marBottom w:val="0"/>
              <w:divBdr>
                <w:top w:val="none" w:sz="0" w:space="0" w:color="auto"/>
                <w:left w:val="none" w:sz="0" w:space="0" w:color="auto"/>
                <w:bottom w:val="none" w:sz="0" w:space="0" w:color="auto"/>
                <w:right w:val="none" w:sz="0" w:space="0" w:color="auto"/>
              </w:divBdr>
              <w:divsChild>
                <w:div w:id="153952823">
                  <w:marLeft w:val="0"/>
                  <w:marRight w:val="0"/>
                  <w:marTop w:val="0"/>
                  <w:marBottom w:val="0"/>
                  <w:divBdr>
                    <w:top w:val="none" w:sz="0" w:space="0" w:color="auto"/>
                    <w:left w:val="none" w:sz="0" w:space="0" w:color="auto"/>
                    <w:bottom w:val="none" w:sz="0" w:space="0" w:color="auto"/>
                    <w:right w:val="none" w:sz="0" w:space="0" w:color="auto"/>
                  </w:divBdr>
                  <w:divsChild>
                    <w:div w:id="1420517466">
                      <w:marLeft w:val="0"/>
                      <w:marRight w:val="0"/>
                      <w:marTop w:val="0"/>
                      <w:marBottom w:val="0"/>
                      <w:divBdr>
                        <w:top w:val="none" w:sz="0" w:space="0" w:color="auto"/>
                        <w:left w:val="none" w:sz="0" w:space="0" w:color="auto"/>
                        <w:bottom w:val="none" w:sz="0" w:space="0" w:color="auto"/>
                        <w:right w:val="none" w:sz="0" w:space="0" w:color="auto"/>
                      </w:divBdr>
                      <w:divsChild>
                        <w:div w:id="1111170806">
                          <w:marLeft w:val="0"/>
                          <w:marRight w:val="0"/>
                          <w:marTop w:val="0"/>
                          <w:marBottom w:val="0"/>
                          <w:divBdr>
                            <w:top w:val="none" w:sz="0" w:space="0" w:color="auto"/>
                            <w:left w:val="none" w:sz="0" w:space="0" w:color="auto"/>
                            <w:bottom w:val="none" w:sz="0" w:space="0" w:color="auto"/>
                            <w:right w:val="none" w:sz="0" w:space="0" w:color="auto"/>
                          </w:divBdr>
                          <w:divsChild>
                            <w:div w:id="945428120">
                              <w:marLeft w:val="0"/>
                              <w:marRight w:val="0"/>
                              <w:marTop w:val="0"/>
                              <w:marBottom w:val="0"/>
                              <w:divBdr>
                                <w:top w:val="none" w:sz="0" w:space="0" w:color="auto"/>
                                <w:left w:val="none" w:sz="0" w:space="0" w:color="auto"/>
                                <w:bottom w:val="none" w:sz="0" w:space="0" w:color="auto"/>
                                <w:right w:val="none" w:sz="0" w:space="0" w:color="auto"/>
                              </w:divBdr>
                              <w:divsChild>
                                <w:div w:id="1930890733">
                                  <w:marLeft w:val="0"/>
                                  <w:marRight w:val="0"/>
                                  <w:marTop w:val="0"/>
                                  <w:marBottom w:val="0"/>
                                  <w:divBdr>
                                    <w:top w:val="none" w:sz="0" w:space="0" w:color="auto"/>
                                    <w:left w:val="none" w:sz="0" w:space="0" w:color="auto"/>
                                    <w:bottom w:val="none" w:sz="0" w:space="0" w:color="auto"/>
                                    <w:right w:val="none" w:sz="0" w:space="0" w:color="auto"/>
                                  </w:divBdr>
                                  <w:divsChild>
                                    <w:div w:id="1536964268">
                                      <w:marLeft w:val="0"/>
                                      <w:marRight w:val="0"/>
                                      <w:marTop w:val="0"/>
                                      <w:marBottom w:val="0"/>
                                      <w:divBdr>
                                        <w:top w:val="none" w:sz="0" w:space="0" w:color="auto"/>
                                        <w:left w:val="none" w:sz="0" w:space="0" w:color="auto"/>
                                        <w:bottom w:val="none" w:sz="0" w:space="0" w:color="auto"/>
                                        <w:right w:val="none" w:sz="0" w:space="0" w:color="auto"/>
                                      </w:divBdr>
                                      <w:divsChild>
                                        <w:div w:id="1795128021">
                                          <w:marLeft w:val="0"/>
                                          <w:marRight w:val="0"/>
                                          <w:marTop w:val="0"/>
                                          <w:marBottom w:val="0"/>
                                          <w:divBdr>
                                            <w:top w:val="none" w:sz="0" w:space="0" w:color="auto"/>
                                            <w:left w:val="none" w:sz="0" w:space="0" w:color="auto"/>
                                            <w:bottom w:val="none" w:sz="0" w:space="0" w:color="auto"/>
                                            <w:right w:val="none" w:sz="0" w:space="0" w:color="auto"/>
                                          </w:divBdr>
                                          <w:divsChild>
                                            <w:div w:id="825433229">
                                              <w:marLeft w:val="0"/>
                                              <w:marRight w:val="0"/>
                                              <w:marTop w:val="0"/>
                                              <w:marBottom w:val="0"/>
                                              <w:divBdr>
                                                <w:top w:val="none" w:sz="0" w:space="0" w:color="auto"/>
                                                <w:left w:val="none" w:sz="0" w:space="0" w:color="auto"/>
                                                <w:bottom w:val="none" w:sz="0" w:space="0" w:color="auto"/>
                                                <w:right w:val="none" w:sz="0" w:space="0" w:color="auto"/>
                                              </w:divBdr>
                                              <w:divsChild>
                                                <w:div w:id="95640447">
                                                  <w:marLeft w:val="0"/>
                                                  <w:marRight w:val="0"/>
                                                  <w:marTop w:val="0"/>
                                                  <w:marBottom w:val="0"/>
                                                  <w:divBdr>
                                                    <w:top w:val="none" w:sz="0" w:space="0" w:color="auto"/>
                                                    <w:left w:val="none" w:sz="0" w:space="0" w:color="auto"/>
                                                    <w:bottom w:val="none" w:sz="0" w:space="0" w:color="auto"/>
                                                    <w:right w:val="none" w:sz="0" w:space="0" w:color="auto"/>
                                                  </w:divBdr>
                                                  <w:divsChild>
                                                    <w:div w:id="1945576194">
                                                      <w:marLeft w:val="0"/>
                                                      <w:marRight w:val="0"/>
                                                      <w:marTop w:val="0"/>
                                                      <w:marBottom w:val="0"/>
                                                      <w:divBdr>
                                                        <w:top w:val="none" w:sz="0" w:space="0" w:color="auto"/>
                                                        <w:left w:val="none" w:sz="0" w:space="0" w:color="auto"/>
                                                        <w:bottom w:val="none" w:sz="0" w:space="0" w:color="auto"/>
                                                        <w:right w:val="none" w:sz="0" w:space="0" w:color="auto"/>
                                                      </w:divBdr>
                                                      <w:divsChild>
                                                        <w:div w:id="12992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198553">
      <w:bodyDiv w:val="1"/>
      <w:marLeft w:val="0"/>
      <w:marRight w:val="0"/>
      <w:marTop w:val="0"/>
      <w:marBottom w:val="0"/>
      <w:divBdr>
        <w:top w:val="none" w:sz="0" w:space="0" w:color="auto"/>
        <w:left w:val="none" w:sz="0" w:space="0" w:color="auto"/>
        <w:bottom w:val="none" w:sz="0" w:space="0" w:color="auto"/>
        <w:right w:val="none" w:sz="0" w:space="0" w:color="auto"/>
      </w:divBdr>
      <w:divsChild>
        <w:div w:id="1096484796">
          <w:marLeft w:val="0"/>
          <w:marRight w:val="0"/>
          <w:marTop w:val="0"/>
          <w:marBottom w:val="0"/>
          <w:divBdr>
            <w:top w:val="none" w:sz="0" w:space="0" w:color="auto"/>
            <w:left w:val="none" w:sz="0" w:space="0" w:color="auto"/>
            <w:bottom w:val="none" w:sz="0" w:space="0" w:color="auto"/>
            <w:right w:val="none" w:sz="0" w:space="0" w:color="auto"/>
          </w:divBdr>
          <w:divsChild>
            <w:div w:id="112672460">
              <w:marLeft w:val="0"/>
              <w:marRight w:val="0"/>
              <w:marTop w:val="0"/>
              <w:marBottom w:val="0"/>
              <w:divBdr>
                <w:top w:val="none" w:sz="0" w:space="0" w:color="auto"/>
                <w:left w:val="none" w:sz="0" w:space="0" w:color="auto"/>
                <w:bottom w:val="none" w:sz="0" w:space="0" w:color="auto"/>
                <w:right w:val="none" w:sz="0" w:space="0" w:color="auto"/>
              </w:divBdr>
              <w:divsChild>
                <w:div w:id="1585915793">
                  <w:marLeft w:val="0"/>
                  <w:marRight w:val="0"/>
                  <w:marTop w:val="0"/>
                  <w:marBottom w:val="0"/>
                  <w:divBdr>
                    <w:top w:val="none" w:sz="0" w:space="0" w:color="auto"/>
                    <w:left w:val="none" w:sz="0" w:space="0" w:color="auto"/>
                    <w:bottom w:val="none" w:sz="0" w:space="0" w:color="auto"/>
                    <w:right w:val="none" w:sz="0" w:space="0" w:color="auto"/>
                  </w:divBdr>
                  <w:divsChild>
                    <w:div w:id="1490363193">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1018118366">
                              <w:marLeft w:val="0"/>
                              <w:marRight w:val="0"/>
                              <w:marTop w:val="0"/>
                              <w:marBottom w:val="0"/>
                              <w:divBdr>
                                <w:top w:val="none" w:sz="0" w:space="0" w:color="auto"/>
                                <w:left w:val="none" w:sz="0" w:space="0" w:color="auto"/>
                                <w:bottom w:val="none" w:sz="0" w:space="0" w:color="auto"/>
                                <w:right w:val="none" w:sz="0" w:space="0" w:color="auto"/>
                              </w:divBdr>
                              <w:divsChild>
                                <w:div w:id="1297956243">
                                  <w:marLeft w:val="0"/>
                                  <w:marRight w:val="0"/>
                                  <w:marTop w:val="0"/>
                                  <w:marBottom w:val="0"/>
                                  <w:divBdr>
                                    <w:top w:val="none" w:sz="0" w:space="0" w:color="auto"/>
                                    <w:left w:val="none" w:sz="0" w:space="0" w:color="auto"/>
                                    <w:bottom w:val="none" w:sz="0" w:space="0" w:color="auto"/>
                                    <w:right w:val="none" w:sz="0" w:space="0" w:color="auto"/>
                                  </w:divBdr>
                                  <w:divsChild>
                                    <w:div w:id="1902672630">
                                      <w:marLeft w:val="0"/>
                                      <w:marRight w:val="0"/>
                                      <w:marTop w:val="0"/>
                                      <w:marBottom w:val="0"/>
                                      <w:divBdr>
                                        <w:top w:val="none" w:sz="0" w:space="0" w:color="auto"/>
                                        <w:left w:val="none" w:sz="0" w:space="0" w:color="auto"/>
                                        <w:bottom w:val="none" w:sz="0" w:space="0" w:color="auto"/>
                                        <w:right w:val="none" w:sz="0" w:space="0" w:color="auto"/>
                                      </w:divBdr>
                                      <w:divsChild>
                                        <w:div w:id="1909071520">
                                          <w:marLeft w:val="0"/>
                                          <w:marRight w:val="0"/>
                                          <w:marTop w:val="0"/>
                                          <w:marBottom w:val="0"/>
                                          <w:divBdr>
                                            <w:top w:val="none" w:sz="0" w:space="0" w:color="auto"/>
                                            <w:left w:val="none" w:sz="0" w:space="0" w:color="auto"/>
                                            <w:bottom w:val="none" w:sz="0" w:space="0" w:color="auto"/>
                                            <w:right w:val="none" w:sz="0" w:space="0" w:color="auto"/>
                                          </w:divBdr>
                                          <w:divsChild>
                                            <w:div w:id="476000839">
                                              <w:marLeft w:val="0"/>
                                              <w:marRight w:val="0"/>
                                              <w:marTop w:val="0"/>
                                              <w:marBottom w:val="0"/>
                                              <w:divBdr>
                                                <w:top w:val="none" w:sz="0" w:space="0" w:color="auto"/>
                                                <w:left w:val="none" w:sz="0" w:space="0" w:color="auto"/>
                                                <w:bottom w:val="none" w:sz="0" w:space="0" w:color="auto"/>
                                                <w:right w:val="none" w:sz="0" w:space="0" w:color="auto"/>
                                              </w:divBdr>
                                              <w:divsChild>
                                                <w:div w:id="1010722070">
                                                  <w:marLeft w:val="0"/>
                                                  <w:marRight w:val="0"/>
                                                  <w:marTop w:val="0"/>
                                                  <w:marBottom w:val="0"/>
                                                  <w:divBdr>
                                                    <w:top w:val="none" w:sz="0" w:space="0" w:color="auto"/>
                                                    <w:left w:val="none" w:sz="0" w:space="0" w:color="auto"/>
                                                    <w:bottom w:val="none" w:sz="0" w:space="0" w:color="auto"/>
                                                    <w:right w:val="none" w:sz="0" w:space="0" w:color="auto"/>
                                                  </w:divBdr>
                                                  <w:divsChild>
                                                    <w:div w:id="545727689">
                                                      <w:marLeft w:val="0"/>
                                                      <w:marRight w:val="0"/>
                                                      <w:marTop w:val="0"/>
                                                      <w:marBottom w:val="0"/>
                                                      <w:divBdr>
                                                        <w:top w:val="none" w:sz="0" w:space="0" w:color="auto"/>
                                                        <w:left w:val="none" w:sz="0" w:space="0" w:color="auto"/>
                                                        <w:bottom w:val="none" w:sz="0" w:space="0" w:color="auto"/>
                                                        <w:right w:val="none" w:sz="0" w:space="0" w:color="auto"/>
                                                      </w:divBdr>
                                                      <w:divsChild>
                                                        <w:div w:id="14712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086562499">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561D6-DAA5-4D8E-84B1-2443FAB0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cp:revision>
  <cp:lastPrinted>2020-09-02T01:26:00Z</cp:lastPrinted>
  <dcterms:created xsi:type="dcterms:W3CDTF">2020-09-17T05:54:00Z</dcterms:created>
  <dcterms:modified xsi:type="dcterms:W3CDTF">2020-09-21T01:15:00Z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