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75753" w14:textId="77777777" w:rsidR="00955175" w:rsidRPr="000E1CBC" w:rsidRDefault="00955175" w:rsidP="00E2168B">
      <w:pPr>
        <w:spacing w:before="280" w:after="240"/>
        <w:rPr>
          <w:b/>
          <w:sz w:val="32"/>
          <w:szCs w:val="32"/>
        </w:rPr>
      </w:pPr>
      <w:bookmarkStart w:id="0" w:name="_GoBack"/>
      <w:bookmarkEnd w:id="0"/>
    </w:p>
    <w:p w14:paraId="628DE0A5" w14:textId="354E1D50" w:rsidR="00955175" w:rsidRPr="000E1CBC" w:rsidRDefault="000E037F" w:rsidP="00E2168B">
      <w:pPr>
        <w:spacing w:before="280" w:after="240"/>
        <w:rPr>
          <w:b/>
          <w:sz w:val="32"/>
          <w:szCs w:val="32"/>
        </w:rPr>
      </w:pPr>
      <w:r w:rsidRPr="000E1CBC">
        <w:rPr>
          <w:noProof/>
          <w:highlight w:val="yellow"/>
        </w:rPr>
        <w:drawing>
          <wp:anchor distT="0" distB="0" distL="114300" distR="114300" simplePos="0" relativeHeight="251658240" behindDoc="0" locked="0" layoutInCell="1" allowOverlap="1" wp14:anchorId="6BCFF215" wp14:editId="2BCEBDA5">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Securities and Investments Commissi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77EFFD71" w14:textId="77777777" w:rsidR="00955175" w:rsidRPr="000E1CBC" w:rsidRDefault="00955175" w:rsidP="00955175">
      <w:pPr>
        <w:pStyle w:val="LI-Title"/>
        <w:pBdr>
          <w:top w:val="none" w:sz="0" w:space="0" w:color="auto"/>
        </w:pBdr>
        <w:jc w:val="center"/>
      </w:pPr>
    </w:p>
    <w:p w14:paraId="4CDAE0A5" w14:textId="77777777" w:rsidR="00955175" w:rsidRPr="000E1CBC" w:rsidRDefault="00955175" w:rsidP="00955175">
      <w:pPr>
        <w:pStyle w:val="LI-Title"/>
        <w:pBdr>
          <w:top w:val="none" w:sz="0" w:space="0" w:color="auto"/>
        </w:pBdr>
        <w:jc w:val="center"/>
      </w:pPr>
      <w:r w:rsidRPr="000E1CBC">
        <w:t>Explanatory Statement</w:t>
      </w:r>
    </w:p>
    <w:p w14:paraId="03E8F8E1" w14:textId="77777777" w:rsidR="00955175" w:rsidRPr="000E1CBC" w:rsidRDefault="00955175" w:rsidP="00955175">
      <w:pPr>
        <w:rPr>
          <w:lang w:eastAsia="en-AU"/>
        </w:rPr>
      </w:pPr>
    </w:p>
    <w:p w14:paraId="1BA08889" w14:textId="07D69E88" w:rsidR="00C4170B" w:rsidRPr="000E1CBC" w:rsidRDefault="00FF10B6" w:rsidP="00C4170B">
      <w:pPr>
        <w:jc w:val="center"/>
        <w:rPr>
          <w:b/>
          <w:i/>
          <w:sz w:val="28"/>
          <w:szCs w:val="28"/>
          <w:lang w:eastAsia="en-AU"/>
        </w:rPr>
      </w:pPr>
      <w:r w:rsidRPr="000E1CBC">
        <w:rPr>
          <w:b/>
          <w:i/>
          <w:sz w:val="28"/>
          <w:szCs w:val="28"/>
          <w:lang w:eastAsia="en-AU"/>
        </w:rPr>
        <w:t>ASIC Corporations (Amendment) Instrument 2020</w:t>
      </w:r>
      <w:r w:rsidR="003F46A1" w:rsidRPr="000E1CBC">
        <w:rPr>
          <w:b/>
          <w:i/>
          <w:sz w:val="28"/>
          <w:szCs w:val="28"/>
          <w:lang w:eastAsia="en-AU"/>
        </w:rPr>
        <w:t>/</w:t>
      </w:r>
      <w:r w:rsidR="00507120" w:rsidRPr="000E1CBC">
        <w:rPr>
          <w:b/>
          <w:i/>
          <w:sz w:val="28"/>
          <w:szCs w:val="28"/>
          <w:lang w:eastAsia="en-AU"/>
        </w:rPr>
        <w:t>862</w:t>
      </w:r>
    </w:p>
    <w:p w14:paraId="78A2BD78" w14:textId="44402DBB" w:rsidR="00863657" w:rsidRPr="000E1CBC" w:rsidRDefault="00F800C9" w:rsidP="00F800C9">
      <w:pPr>
        <w:pStyle w:val="LI-BodyTextParaa"/>
        <w:ind w:left="0" w:firstLine="0"/>
      </w:pPr>
      <w:bookmarkStart w:id="1" w:name="BK_S3P1L1C1"/>
      <w:bookmarkEnd w:id="1"/>
      <w:r w:rsidRPr="000E1CBC">
        <w:t>This is the Explanatory Statement for</w:t>
      </w:r>
      <w:r w:rsidR="00FF10B6" w:rsidRPr="000E1CBC">
        <w:t xml:space="preserve"> </w:t>
      </w:r>
      <w:r w:rsidR="00FF10B6" w:rsidRPr="000E1CBC">
        <w:rPr>
          <w:i/>
          <w:iCs/>
        </w:rPr>
        <w:t>ASIC Corporation</w:t>
      </w:r>
      <w:r w:rsidR="009D79C5" w:rsidRPr="000E1CBC">
        <w:rPr>
          <w:i/>
          <w:iCs/>
        </w:rPr>
        <w:t>s</w:t>
      </w:r>
      <w:r w:rsidR="00FF10B6" w:rsidRPr="000E1CBC">
        <w:rPr>
          <w:i/>
          <w:iCs/>
        </w:rPr>
        <w:t xml:space="preserve"> (Amendment) Instrument</w:t>
      </w:r>
      <w:r w:rsidR="00C85FC6" w:rsidRPr="000E1CBC">
        <w:rPr>
          <w:i/>
          <w:iCs/>
        </w:rPr>
        <w:t> </w:t>
      </w:r>
      <w:r w:rsidR="00FF10B6" w:rsidRPr="000E1CBC">
        <w:rPr>
          <w:i/>
          <w:iCs/>
        </w:rPr>
        <w:t>2020/</w:t>
      </w:r>
      <w:r w:rsidR="00507120" w:rsidRPr="000E1CBC">
        <w:rPr>
          <w:i/>
          <w:iCs/>
        </w:rPr>
        <w:t>862</w:t>
      </w:r>
      <w:r w:rsidRPr="000E1CBC">
        <w:t>.</w:t>
      </w:r>
    </w:p>
    <w:p w14:paraId="164B8C4C" w14:textId="77777777" w:rsidR="00F800C9" w:rsidRPr="000E1CBC" w:rsidRDefault="00863657" w:rsidP="00F800C9">
      <w:pPr>
        <w:pStyle w:val="LI-BodyTextParaa"/>
        <w:ind w:left="0" w:firstLine="0"/>
      </w:pPr>
      <w:r w:rsidRPr="000E1CBC">
        <w:t>Th</w:t>
      </w:r>
      <w:r w:rsidR="00F800C9" w:rsidRPr="000E1CBC">
        <w:t>e</w:t>
      </w:r>
      <w:r w:rsidRPr="000E1CBC">
        <w:t xml:space="preserve"> </w:t>
      </w:r>
      <w:r w:rsidR="00F800C9" w:rsidRPr="000E1CBC">
        <w:t>Explanatory Statement is approved by the Australian Securities and Investments Commission (</w:t>
      </w:r>
      <w:r w:rsidR="00F800C9" w:rsidRPr="000E1CBC">
        <w:rPr>
          <w:b/>
          <w:iCs/>
        </w:rPr>
        <w:t>ASIC</w:t>
      </w:r>
      <w:r w:rsidR="00F800C9" w:rsidRPr="000E1CBC">
        <w:t>).</w:t>
      </w:r>
    </w:p>
    <w:p w14:paraId="6B520212" w14:textId="77777777" w:rsidR="00F800C9" w:rsidRPr="000E1CBC" w:rsidRDefault="005D1FEA" w:rsidP="00F800C9">
      <w:pPr>
        <w:pStyle w:val="LI-BodyTextNumbered"/>
        <w:ind w:left="0" w:firstLine="0"/>
        <w:rPr>
          <w:b/>
        </w:rPr>
      </w:pPr>
      <w:r w:rsidRPr="000E1CBC">
        <w:rPr>
          <w:b/>
        </w:rPr>
        <w:t>Summary</w:t>
      </w:r>
    </w:p>
    <w:p w14:paraId="44264ACD" w14:textId="6D27449C" w:rsidR="00F800C9" w:rsidRPr="000E1CBC" w:rsidRDefault="00C85FC6" w:rsidP="00C85FC6">
      <w:pPr>
        <w:pStyle w:val="LI-BodyTextParaa"/>
        <w:ind w:left="567"/>
      </w:pPr>
      <w:r w:rsidRPr="000E1CBC">
        <w:t>1.</w:t>
      </w:r>
      <w:r w:rsidRPr="000E1CBC">
        <w:tab/>
      </w:r>
      <w:r w:rsidR="00FF10B6" w:rsidRPr="000E1CBC">
        <w:rPr>
          <w:i/>
          <w:iCs/>
        </w:rPr>
        <w:t>ASIC Corporation</w:t>
      </w:r>
      <w:r w:rsidR="009D79C5" w:rsidRPr="000E1CBC">
        <w:rPr>
          <w:i/>
          <w:iCs/>
        </w:rPr>
        <w:t>s</w:t>
      </w:r>
      <w:r w:rsidR="00FF10B6" w:rsidRPr="000E1CBC">
        <w:rPr>
          <w:i/>
          <w:iCs/>
        </w:rPr>
        <w:t xml:space="preserve"> (Amendment) Instrument 2020</w:t>
      </w:r>
      <w:r w:rsidR="003F46A1" w:rsidRPr="000E1CBC">
        <w:rPr>
          <w:i/>
          <w:iCs/>
        </w:rPr>
        <w:t>/</w:t>
      </w:r>
      <w:r w:rsidR="00550058" w:rsidRPr="000E1CBC">
        <w:rPr>
          <w:i/>
          <w:iCs/>
        </w:rPr>
        <w:t>862</w:t>
      </w:r>
      <w:r w:rsidR="00FF10B6" w:rsidRPr="000E1CBC">
        <w:rPr>
          <w:i/>
          <w:iCs/>
        </w:rPr>
        <w:t xml:space="preserve"> </w:t>
      </w:r>
      <w:r w:rsidR="000B60D3" w:rsidRPr="000E1CBC">
        <w:t>(</w:t>
      </w:r>
      <w:r w:rsidRPr="000E1CBC">
        <w:t xml:space="preserve">the </w:t>
      </w:r>
      <w:r w:rsidR="00385A54" w:rsidRPr="000E1CBC">
        <w:rPr>
          <w:b/>
          <w:bCs/>
          <w:i/>
          <w:iCs/>
        </w:rPr>
        <w:t xml:space="preserve">amending </w:t>
      </w:r>
      <w:r w:rsidR="000B60D3" w:rsidRPr="000E1CBC">
        <w:rPr>
          <w:b/>
          <w:bCs/>
          <w:i/>
          <w:iCs/>
        </w:rPr>
        <w:t>instrument</w:t>
      </w:r>
      <w:r w:rsidR="000B60D3" w:rsidRPr="000E1CBC">
        <w:t xml:space="preserve">) </w:t>
      </w:r>
      <w:r w:rsidR="00FF10B6" w:rsidRPr="000E1CBC">
        <w:t>amends the following legislative instruments:</w:t>
      </w:r>
    </w:p>
    <w:p w14:paraId="0C10616F" w14:textId="1680012C" w:rsidR="00FF10B6" w:rsidRPr="000E1CBC" w:rsidRDefault="00C85FC6" w:rsidP="00C85FC6">
      <w:pPr>
        <w:pStyle w:val="LI-BodyTextParaa"/>
        <w:ind w:left="1134"/>
      </w:pPr>
      <w:r w:rsidRPr="000E1CBC">
        <w:t>(a)</w:t>
      </w:r>
      <w:r w:rsidRPr="000E1CBC">
        <w:tab/>
      </w:r>
      <w:r w:rsidR="00FF10B6" w:rsidRPr="000E1CBC">
        <w:rPr>
          <w:i/>
          <w:iCs/>
        </w:rPr>
        <w:t>ASIC Corporations (</w:t>
      </w:r>
      <w:r w:rsidR="009D79C5" w:rsidRPr="000E1CBC">
        <w:rPr>
          <w:i/>
          <w:iCs/>
        </w:rPr>
        <w:t>Amendment</w:t>
      </w:r>
      <w:r w:rsidR="00FF10B6" w:rsidRPr="000E1CBC">
        <w:rPr>
          <w:i/>
          <w:iCs/>
        </w:rPr>
        <w:t xml:space="preserve">) Instrument </w:t>
      </w:r>
      <w:r w:rsidRPr="000E1CBC">
        <w:rPr>
          <w:i/>
          <w:iCs/>
        </w:rPr>
        <w:t>2020</w:t>
      </w:r>
      <w:r w:rsidR="00FF10B6" w:rsidRPr="000E1CBC">
        <w:rPr>
          <w:i/>
          <w:iCs/>
        </w:rPr>
        <w:t>/</w:t>
      </w:r>
      <w:r w:rsidR="009D79C5" w:rsidRPr="000E1CBC">
        <w:rPr>
          <w:i/>
          <w:iCs/>
        </w:rPr>
        <w:t>565</w:t>
      </w:r>
      <w:r w:rsidR="004329D2" w:rsidRPr="000E1CBC">
        <w:t xml:space="preserve"> – to specify that the temporary measure</w:t>
      </w:r>
      <w:r w:rsidR="00423F4C" w:rsidRPr="000E1CBC">
        <w:t>s</w:t>
      </w:r>
      <w:r w:rsidR="003F6004" w:rsidRPr="000E1CBC">
        <w:t xml:space="preserve"> relating to </w:t>
      </w:r>
      <w:r w:rsidR="003F6004" w:rsidRPr="000E1CBC">
        <w:rPr>
          <w:i/>
          <w:iCs/>
        </w:rPr>
        <w:t>ASIC Corporations (</w:t>
      </w:r>
      <w:bookmarkStart w:id="2" w:name="_Hlk50566048"/>
      <w:r w:rsidR="003F6004" w:rsidRPr="000E1CBC">
        <w:rPr>
          <w:i/>
          <w:iCs/>
        </w:rPr>
        <w:t>Share and Interest Purchase Plans</w:t>
      </w:r>
      <w:bookmarkEnd w:id="2"/>
      <w:r w:rsidR="003F6004" w:rsidRPr="000E1CBC">
        <w:rPr>
          <w:i/>
          <w:iCs/>
        </w:rPr>
        <w:t xml:space="preserve">) Instrument 2019/547 </w:t>
      </w:r>
      <w:r w:rsidR="003F6004" w:rsidRPr="000E1CBC">
        <w:t>(</w:t>
      </w:r>
      <w:r w:rsidRPr="000E1CBC">
        <w:t xml:space="preserve">the </w:t>
      </w:r>
      <w:r w:rsidR="003F6004" w:rsidRPr="000E1CBC">
        <w:rPr>
          <w:b/>
          <w:bCs/>
          <w:i/>
          <w:iCs/>
        </w:rPr>
        <w:t>purchase plan instrument</w:t>
      </w:r>
      <w:r w:rsidR="003F6004" w:rsidRPr="000E1CBC">
        <w:t>)</w:t>
      </w:r>
      <w:r w:rsidR="004329D2" w:rsidRPr="000E1CBC">
        <w:t xml:space="preserve"> will cease to operate on 1 January 2021</w:t>
      </w:r>
      <w:r w:rsidR="00FF10B6" w:rsidRPr="000E1CBC">
        <w:t>;</w:t>
      </w:r>
    </w:p>
    <w:p w14:paraId="6B769352" w14:textId="592DF167" w:rsidR="00FF10B6" w:rsidRPr="000E1CBC" w:rsidRDefault="00C85FC6" w:rsidP="00C85FC6">
      <w:pPr>
        <w:pStyle w:val="LI-BodyTextParaa"/>
        <w:ind w:left="1134"/>
      </w:pPr>
      <w:r w:rsidRPr="000E1CBC">
        <w:t>(b)</w:t>
      </w:r>
      <w:r w:rsidRPr="000E1CBC">
        <w:tab/>
      </w:r>
      <w:r w:rsidR="00FF10B6" w:rsidRPr="000E1CBC">
        <w:rPr>
          <w:i/>
          <w:iCs/>
        </w:rPr>
        <w:t>ASIC Corporations (Trading Suspension</w:t>
      </w:r>
      <w:r w:rsidR="00E546E5" w:rsidRPr="000E1CBC">
        <w:rPr>
          <w:i/>
          <w:iCs/>
        </w:rPr>
        <w:t>s</w:t>
      </w:r>
      <w:r w:rsidR="00FF10B6" w:rsidRPr="000E1CBC">
        <w:rPr>
          <w:i/>
          <w:iCs/>
        </w:rPr>
        <w:t xml:space="preserve"> Relief) Instrument 2020/289</w:t>
      </w:r>
      <w:r w:rsidR="00423F4C" w:rsidRPr="000E1CBC">
        <w:rPr>
          <w:i/>
          <w:iCs/>
        </w:rPr>
        <w:t xml:space="preserve"> – </w:t>
      </w:r>
      <w:r w:rsidR="00423F4C" w:rsidRPr="000E1CBC">
        <w:t>to specify that the temporary measures will cease to operate on 1 January 2021</w:t>
      </w:r>
      <w:r w:rsidR="00FF10B6" w:rsidRPr="000E1CBC">
        <w:t>;</w:t>
      </w:r>
      <w:r w:rsidR="00FF10B6" w:rsidRPr="000E1CBC">
        <w:rPr>
          <w:i/>
          <w:iCs/>
        </w:rPr>
        <w:t xml:space="preserve"> </w:t>
      </w:r>
      <w:r w:rsidR="00FF10B6" w:rsidRPr="000E1CBC">
        <w:t>and</w:t>
      </w:r>
    </w:p>
    <w:p w14:paraId="3EFEB33D" w14:textId="06F57D58" w:rsidR="00FF10B6" w:rsidRPr="000E1CBC" w:rsidRDefault="00C85FC6" w:rsidP="00C85FC6">
      <w:pPr>
        <w:pStyle w:val="LI-BodyTextParaa"/>
        <w:ind w:left="1134"/>
      </w:pPr>
      <w:r w:rsidRPr="000E1CBC">
        <w:t>(c)</w:t>
      </w:r>
      <w:r w:rsidRPr="000E1CBC">
        <w:tab/>
      </w:r>
      <w:r w:rsidR="00FF10B6" w:rsidRPr="000E1CBC">
        <w:rPr>
          <w:i/>
          <w:iCs/>
        </w:rPr>
        <w:t>ASIC Corporations (COVID-19 – Advice-related Relief) Instrument 2020/355</w:t>
      </w:r>
      <w:r w:rsidR="00423F4C" w:rsidRPr="000E1CBC">
        <w:rPr>
          <w:i/>
          <w:iCs/>
        </w:rPr>
        <w:t xml:space="preserve"> </w:t>
      </w:r>
      <w:r w:rsidR="00423F4C" w:rsidRPr="000E1CBC">
        <w:t>– to specify that the temporary measures will cease to operate on 15 April 2021</w:t>
      </w:r>
      <w:r w:rsidR="00423F4C" w:rsidRPr="000E1CBC">
        <w:rPr>
          <w:i/>
          <w:iCs/>
        </w:rPr>
        <w:t>.</w:t>
      </w:r>
      <w:r w:rsidR="00FF10B6" w:rsidRPr="000E1CBC">
        <w:rPr>
          <w:i/>
          <w:iCs/>
        </w:rPr>
        <w:t xml:space="preserve"> </w:t>
      </w:r>
    </w:p>
    <w:p w14:paraId="443E52E5" w14:textId="76EB4034" w:rsidR="00E92A52" w:rsidRPr="000E1CBC" w:rsidRDefault="00507120" w:rsidP="00507120">
      <w:pPr>
        <w:pStyle w:val="LI-BodyTextParaa"/>
        <w:ind w:left="567"/>
        <w:rPr>
          <w:bCs/>
        </w:rPr>
      </w:pPr>
      <w:r w:rsidRPr="000E1CBC">
        <w:rPr>
          <w:bCs/>
        </w:rPr>
        <w:t>2.</w:t>
      </w:r>
      <w:r w:rsidRPr="000E1CBC">
        <w:rPr>
          <w:bCs/>
        </w:rPr>
        <w:tab/>
      </w:r>
      <w:r w:rsidR="00B17A9A" w:rsidRPr="000E1CBC">
        <w:rPr>
          <w:bCs/>
        </w:rPr>
        <w:t xml:space="preserve">The temporary relief measures are deregulatory in nature. </w:t>
      </w:r>
      <w:r w:rsidR="000D5ABD" w:rsidRPr="000E1CBC">
        <w:rPr>
          <w:bCs/>
        </w:rPr>
        <w:t xml:space="preserve">Having regard to the </w:t>
      </w:r>
      <w:r w:rsidR="00E92A52" w:rsidRPr="000E1CBC">
        <w:rPr>
          <w:bCs/>
        </w:rPr>
        <w:t>uncertain</w:t>
      </w:r>
      <w:r w:rsidR="000D5ABD" w:rsidRPr="000E1CBC">
        <w:rPr>
          <w:bCs/>
        </w:rPr>
        <w:t xml:space="preserve"> impact</w:t>
      </w:r>
      <w:r w:rsidR="00E92A52" w:rsidRPr="000E1CBC">
        <w:rPr>
          <w:bCs/>
        </w:rPr>
        <w:t>s</w:t>
      </w:r>
      <w:r w:rsidR="000D5ABD" w:rsidRPr="000E1CBC">
        <w:rPr>
          <w:bCs/>
        </w:rPr>
        <w:t xml:space="preserve"> of COVID-19, </w:t>
      </w:r>
      <w:r w:rsidR="00524975" w:rsidRPr="000E1CBC">
        <w:rPr>
          <w:bCs/>
        </w:rPr>
        <w:t>ASIC will continue to monitor the appr</w:t>
      </w:r>
      <w:r w:rsidR="00E92A52" w:rsidRPr="000E1CBC">
        <w:rPr>
          <w:bCs/>
        </w:rPr>
        <w:t>opriateness o</w:t>
      </w:r>
      <w:r w:rsidR="00524975" w:rsidRPr="000E1CBC">
        <w:rPr>
          <w:bCs/>
        </w:rPr>
        <w:t xml:space="preserve">f these </w:t>
      </w:r>
      <w:r w:rsidR="00B50EDA" w:rsidRPr="000E1CBC">
        <w:rPr>
          <w:bCs/>
        </w:rPr>
        <w:t>temporary relief measures</w:t>
      </w:r>
      <w:r w:rsidR="00E65DD0" w:rsidRPr="000E1CBC">
        <w:rPr>
          <w:bCs/>
        </w:rPr>
        <w:t xml:space="preserve">. </w:t>
      </w:r>
      <w:r w:rsidR="004E2791" w:rsidRPr="000E1CBC">
        <w:rPr>
          <w:bCs/>
        </w:rPr>
        <w:t>If ASIC</w:t>
      </w:r>
      <w:r w:rsidR="00E92A52" w:rsidRPr="000E1CBC">
        <w:rPr>
          <w:bCs/>
        </w:rPr>
        <w:t xml:space="preserve"> considers</w:t>
      </w:r>
      <w:r w:rsidR="004E2791" w:rsidRPr="000E1CBC">
        <w:rPr>
          <w:bCs/>
        </w:rPr>
        <w:t xml:space="preserve"> it appropriate to </w:t>
      </w:r>
      <w:r w:rsidR="00994FF3" w:rsidRPr="000E1CBC">
        <w:rPr>
          <w:bCs/>
        </w:rPr>
        <w:t xml:space="preserve">repeal </w:t>
      </w:r>
      <w:r w:rsidR="004E2791" w:rsidRPr="000E1CBC">
        <w:rPr>
          <w:bCs/>
        </w:rPr>
        <w:t>the relief</w:t>
      </w:r>
      <w:r w:rsidR="002A693B" w:rsidRPr="000E1CBC">
        <w:rPr>
          <w:bCs/>
        </w:rPr>
        <w:t xml:space="preserve"> before the end of the </w:t>
      </w:r>
      <w:r w:rsidR="00423F4C" w:rsidRPr="000E1CBC">
        <w:rPr>
          <w:bCs/>
        </w:rPr>
        <w:t>above</w:t>
      </w:r>
      <w:r w:rsidR="002A693B" w:rsidRPr="000E1CBC">
        <w:rPr>
          <w:bCs/>
        </w:rPr>
        <w:t xml:space="preserve"> period</w:t>
      </w:r>
      <w:r w:rsidR="00423F4C" w:rsidRPr="000E1CBC">
        <w:rPr>
          <w:bCs/>
        </w:rPr>
        <w:t>s</w:t>
      </w:r>
      <w:r w:rsidR="000E037F" w:rsidRPr="000E1CBC">
        <w:rPr>
          <w:bCs/>
        </w:rPr>
        <w:t xml:space="preserve"> or extend the relief</w:t>
      </w:r>
      <w:r w:rsidR="004E2791" w:rsidRPr="000E1CBC">
        <w:rPr>
          <w:bCs/>
        </w:rPr>
        <w:t xml:space="preserve">, </w:t>
      </w:r>
      <w:r w:rsidR="00E65DD0" w:rsidRPr="000E1CBC">
        <w:rPr>
          <w:bCs/>
        </w:rPr>
        <w:t>ASIC</w:t>
      </w:r>
      <w:r w:rsidR="00E92A52" w:rsidRPr="000E1CBC">
        <w:rPr>
          <w:bCs/>
        </w:rPr>
        <w:t xml:space="preserve"> will give </w:t>
      </w:r>
      <w:proofErr w:type="gramStart"/>
      <w:r w:rsidR="00F1108C" w:rsidRPr="000E1CBC">
        <w:rPr>
          <w:bCs/>
        </w:rPr>
        <w:t>sufficient</w:t>
      </w:r>
      <w:proofErr w:type="gramEnd"/>
      <w:r w:rsidR="00F1108C" w:rsidRPr="000E1CBC">
        <w:rPr>
          <w:bCs/>
        </w:rPr>
        <w:t xml:space="preserve"> </w:t>
      </w:r>
      <w:r w:rsidR="00E92A52" w:rsidRPr="000E1CBC">
        <w:rPr>
          <w:bCs/>
        </w:rPr>
        <w:t>notice before any early repeal</w:t>
      </w:r>
      <w:r w:rsidR="000E037F" w:rsidRPr="000E1CBC">
        <w:rPr>
          <w:bCs/>
        </w:rPr>
        <w:t xml:space="preserve"> or extension</w:t>
      </w:r>
      <w:r w:rsidR="00E92A52" w:rsidRPr="000E1CBC">
        <w:rPr>
          <w:bCs/>
        </w:rPr>
        <w:t xml:space="preserve"> is implemented.</w:t>
      </w:r>
    </w:p>
    <w:p w14:paraId="405E8D57" w14:textId="31906B93" w:rsidR="008F2B39" w:rsidRPr="000E1CBC" w:rsidRDefault="00E92A52" w:rsidP="000E037F">
      <w:pPr>
        <w:pStyle w:val="LI-BodyTextParaa"/>
        <w:ind w:left="0" w:firstLine="0"/>
        <w:rPr>
          <w:b/>
        </w:rPr>
      </w:pPr>
      <w:r w:rsidRPr="000E1CBC" w:rsidDel="00E92A52">
        <w:rPr>
          <w:bCs/>
        </w:rPr>
        <w:t xml:space="preserve"> </w:t>
      </w:r>
      <w:r w:rsidR="005D1FEA" w:rsidRPr="000E1CBC">
        <w:rPr>
          <w:b/>
        </w:rPr>
        <w:t>Purpose of the instrument</w:t>
      </w:r>
    </w:p>
    <w:p w14:paraId="65574FE1" w14:textId="71C797FC" w:rsidR="00507120" w:rsidRPr="000E1CBC" w:rsidRDefault="00507120" w:rsidP="00507120">
      <w:pPr>
        <w:pStyle w:val="LI-BodyTextParaa"/>
        <w:ind w:left="567"/>
      </w:pPr>
      <w:r w:rsidRPr="000E1CBC">
        <w:t>3.</w:t>
      </w:r>
      <w:r w:rsidRPr="000E1CBC">
        <w:tab/>
      </w:r>
      <w:r w:rsidR="008F2B39" w:rsidRPr="000E1CBC">
        <w:t xml:space="preserve">The explanatory statements to the legislative instruments stated that these </w:t>
      </w:r>
      <w:r w:rsidR="00B41646" w:rsidRPr="000E1CBC">
        <w:t xml:space="preserve">temporary </w:t>
      </w:r>
      <w:r w:rsidR="008F2B39" w:rsidRPr="000E1CBC">
        <w:t xml:space="preserve">measures were implemented in response to the economic impact </w:t>
      </w:r>
      <w:r w:rsidR="00B41646" w:rsidRPr="000E1CBC">
        <w:t xml:space="preserve">directly associated with the </w:t>
      </w:r>
      <w:r w:rsidR="008876F0" w:rsidRPr="000E1CBC">
        <w:t xml:space="preserve">coronavirus </w:t>
      </w:r>
      <w:r w:rsidR="00B41646" w:rsidRPr="000E1CBC">
        <w:t>pandemic</w:t>
      </w:r>
      <w:r w:rsidR="008876F0" w:rsidRPr="000E1CBC">
        <w:t>, known as COVID-19</w:t>
      </w:r>
      <w:r w:rsidR="00B41646" w:rsidRPr="000E1CBC">
        <w:t xml:space="preserve">. </w:t>
      </w:r>
    </w:p>
    <w:p w14:paraId="066106B8" w14:textId="05AA65E9" w:rsidR="00507120" w:rsidRPr="000E1CBC" w:rsidRDefault="00507120" w:rsidP="00507120">
      <w:pPr>
        <w:pStyle w:val="LI-BodyTextParaa"/>
        <w:ind w:left="567"/>
        <w:rPr>
          <w:bCs/>
        </w:rPr>
      </w:pPr>
      <w:r w:rsidRPr="000E1CBC">
        <w:t>4.</w:t>
      </w:r>
      <w:r w:rsidRPr="000E1CBC">
        <w:tab/>
      </w:r>
      <w:r w:rsidR="008F2B39" w:rsidRPr="000E1CBC">
        <w:t>The purpose of the</w:t>
      </w:r>
      <w:r w:rsidR="00C47A22" w:rsidRPr="000E1CBC">
        <w:t>se</w:t>
      </w:r>
      <w:r w:rsidR="008F2B39" w:rsidRPr="000E1CBC">
        <w:t xml:space="preserve"> amendments is to</w:t>
      </w:r>
      <w:r w:rsidR="00B85FAC" w:rsidRPr="000E1CBC">
        <w:t xml:space="preserve"> notify</w:t>
      </w:r>
      <w:r w:rsidR="008F2B39" w:rsidRPr="000E1CBC">
        <w:t xml:space="preserve"> stakeholders </w:t>
      </w:r>
      <w:r w:rsidR="00B41646" w:rsidRPr="000E1CBC">
        <w:t>that might be seeking to rely on the legislative instruments</w:t>
      </w:r>
      <w:r w:rsidR="008F2B39" w:rsidRPr="000E1CBC">
        <w:t xml:space="preserve"> </w:t>
      </w:r>
      <w:r w:rsidR="00385A54" w:rsidRPr="000E1CBC">
        <w:t xml:space="preserve">of </w:t>
      </w:r>
      <w:r w:rsidR="008F2B39" w:rsidRPr="000E1CBC">
        <w:t xml:space="preserve">when these temporary measures </w:t>
      </w:r>
      <w:r w:rsidR="00B41646" w:rsidRPr="000E1CBC">
        <w:lastRenderedPageBreak/>
        <w:t>will cease</w:t>
      </w:r>
      <w:r w:rsidR="00D052BE" w:rsidRPr="000E1CBC">
        <w:t xml:space="preserve"> to operate</w:t>
      </w:r>
      <w:r w:rsidR="00B41646" w:rsidRPr="000E1CBC">
        <w:t>.</w:t>
      </w:r>
      <w:r w:rsidR="00D55EE2" w:rsidRPr="000E1CBC">
        <w:t xml:space="preserve"> The instruments have been extended due to the continuing </w:t>
      </w:r>
      <w:r w:rsidR="00D55EE2" w:rsidRPr="000E1CBC">
        <w:rPr>
          <w:bCs/>
        </w:rPr>
        <w:t xml:space="preserve">uncertain impacts of COVID-19 and the Government’s extension of the </w:t>
      </w:r>
      <w:r w:rsidR="00D55EE2" w:rsidRPr="000E1CBC">
        <w:t xml:space="preserve">early </w:t>
      </w:r>
      <w:r w:rsidR="007F4605" w:rsidRPr="000E1CBC">
        <w:t>release of</w:t>
      </w:r>
      <w:r w:rsidR="00D55EE2" w:rsidRPr="000E1CBC">
        <w:t xml:space="preserve"> superannuation measure</w:t>
      </w:r>
      <w:r w:rsidR="00D55EE2" w:rsidRPr="000E1CBC">
        <w:rPr>
          <w:bCs/>
        </w:rPr>
        <w:t>.</w:t>
      </w:r>
    </w:p>
    <w:p w14:paraId="534B7897" w14:textId="3199BA20" w:rsidR="00982F25" w:rsidRPr="000E1CBC" w:rsidRDefault="00982F25" w:rsidP="00507120">
      <w:pPr>
        <w:pStyle w:val="LI-BodyTextParaa"/>
        <w:ind w:left="567"/>
        <w:rPr>
          <w:i/>
          <w:iCs/>
        </w:rPr>
      </w:pPr>
      <w:r w:rsidRPr="000E1CBC">
        <w:rPr>
          <w:i/>
          <w:iCs/>
        </w:rPr>
        <w:t>Capital raisings</w:t>
      </w:r>
    </w:p>
    <w:p w14:paraId="115E1818" w14:textId="2A036937" w:rsidR="00E92A52" w:rsidRPr="000E1CBC" w:rsidRDefault="00507120" w:rsidP="00507120">
      <w:pPr>
        <w:pStyle w:val="LI-BodyTextParaa"/>
        <w:ind w:left="567"/>
      </w:pPr>
      <w:r w:rsidRPr="000E1CBC">
        <w:t>5.</w:t>
      </w:r>
      <w:r w:rsidRPr="000E1CBC">
        <w:tab/>
      </w:r>
      <w:r w:rsidR="00B41646" w:rsidRPr="000E1CBC">
        <w:rPr>
          <w:i/>
          <w:iCs/>
        </w:rPr>
        <w:t>ASIC Corporations (Amendment) Instrument 2020/290</w:t>
      </w:r>
      <w:r w:rsidR="00B41646" w:rsidRPr="000E1CBC">
        <w:t xml:space="preserve"> and </w:t>
      </w:r>
      <w:r w:rsidR="00B41646" w:rsidRPr="000E1CBC">
        <w:rPr>
          <w:i/>
          <w:iCs/>
        </w:rPr>
        <w:t>ASIC Corporations (Trading Suspension</w:t>
      </w:r>
      <w:r w:rsidR="00E546E5" w:rsidRPr="000E1CBC">
        <w:rPr>
          <w:i/>
          <w:iCs/>
        </w:rPr>
        <w:t>s</w:t>
      </w:r>
      <w:r w:rsidR="00B41646" w:rsidRPr="000E1CBC">
        <w:rPr>
          <w:i/>
          <w:iCs/>
        </w:rPr>
        <w:t xml:space="preserve"> Relief) Instrument 2020/289</w:t>
      </w:r>
      <w:r w:rsidR="00B41646" w:rsidRPr="000E1CBC">
        <w:t xml:space="preserve"> </w:t>
      </w:r>
      <w:r w:rsidR="0002228B" w:rsidRPr="000E1CBC">
        <w:t>temporarily increased</w:t>
      </w:r>
      <w:r w:rsidR="00E92A52" w:rsidRPr="000E1CBC">
        <w:t xml:space="preserve"> </w:t>
      </w:r>
      <w:r w:rsidR="0002228B" w:rsidRPr="000E1CBC">
        <w:t xml:space="preserve">the permissible total trading suspension days </w:t>
      </w:r>
      <w:r w:rsidR="007E0EBE" w:rsidRPr="000E1CBC">
        <w:t xml:space="preserve">from </w:t>
      </w:r>
      <w:r w:rsidR="000E037F" w:rsidRPr="000E1CBC">
        <w:t>5</w:t>
      </w:r>
      <w:r w:rsidR="007E0EBE" w:rsidRPr="000E1CBC">
        <w:t xml:space="preserve"> to 10 days </w:t>
      </w:r>
      <w:r w:rsidR="0002228B" w:rsidRPr="000E1CBC">
        <w:t>in</w:t>
      </w:r>
      <w:r w:rsidR="00E92A52" w:rsidRPr="000E1CBC">
        <w:t>:</w:t>
      </w:r>
    </w:p>
    <w:p w14:paraId="39DDF5AE" w14:textId="3A0B05EC" w:rsidR="00130E53" w:rsidRPr="000E1CBC" w:rsidRDefault="00507120" w:rsidP="00507120">
      <w:pPr>
        <w:pStyle w:val="LI-BodyTextParaa"/>
        <w:ind w:left="1134"/>
        <w:rPr>
          <w:bCs/>
        </w:rPr>
      </w:pPr>
      <w:r w:rsidRPr="000E1CBC">
        <w:t>(a)</w:t>
      </w:r>
      <w:r w:rsidRPr="000E1CBC">
        <w:tab/>
      </w:r>
      <w:r w:rsidR="000E037F" w:rsidRPr="000E1CBC">
        <w:t xml:space="preserve">the ‘low doc’ capital raising regime in sections 708AA, </w:t>
      </w:r>
      <w:r w:rsidR="00E5169C" w:rsidRPr="000E1CBC">
        <w:t xml:space="preserve">708A, </w:t>
      </w:r>
      <w:r w:rsidR="000E037F" w:rsidRPr="000E1CBC">
        <w:t xml:space="preserve">1012DAA, and 1012DA of the </w:t>
      </w:r>
      <w:r w:rsidR="000E037F" w:rsidRPr="000E1CBC">
        <w:rPr>
          <w:i/>
          <w:iCs/>
        </w:rPr>
        <w:t xml:space="preserve">Corporations Act 2001 </w:t>
      </w:r>
      <w:r w:rsidR="000E037F" w:rsidRPr="000E1CBC">
        <w:t>(</w:t>
      </w:r>
      <w:r w:rsidR="00E5169C" w:rsidRPr="000E1CBC">
        <w:t xml:space="preserve">the </w:t>
      </w:r>
      <w:r w:rsidR="000E037F" w:rsidRPr="000E1CBC">
        <w:rPr>
          <w:b/>
          <w:bCs/>
          <w:i/>
          <w:iCs/>
        </w:rPr>
        <w:t>Act</w:t>
      </w:r>
      <w:r w:rsidR="000E037F" w:rsidRPr="000E1CBC">
        <w:t>); and</w:t>
      </w:r>
    </w:p>
    <w:p w14:paraId="2A3D9A71" w14:textId="610D993C" w:rsidR="000E037F" w:rsidRPr="000E1CBC" w:rsidRDefault="00507120" w:rsidP="00507120">
      <w:pPr>
        <w:pStyle w:val="LI-BodyTextParaa"/>
        <w:ind w:left="1134"/>
        <w:rPr>
          <w:bCs/>
        </w:rPr>
      </w:pPr>
      <w:r w:rsidRPr="000E1CBC">
        <w:t>(b)</w:t>
      </w:r>
      <w:r w:rsidRPr="000E1CBC">
        <w:tab/>
      </w:r>
      <w:r w:rsidR="000E037F" w:rsidRPr="000E1CBC">
        <w:t>the purchase plan instrument.</w:t>
      </w:r>
    </w:p>
    <w:p w14:paraId="59CB37AD" w14:textId="47CF1733" w:rsidR="006E349F" w:rsidRPr="000E1CBC" w:rsidRDefault="00E5169C" w:rsidP="00507120">
      <w:pPr>
        <w:pStyle w:val="LI-BodyTextParaa"/>
        <w:ind w:left="567"/>
      </w:pPr>
      <w:r w:rsidRPr="000E1CBC">
        <w:t>6</w:t>
      </w:r>
      <w:r w:rsidR="00507120" w:rsidRPr="000E1CBC">
        <w:t>.</w:t>
      </w:r>
      <w:r w:rsidR="00507120" w:rsidRPr="000E1CBC">
        <w:tab/>
      </w:r>
      <w:r w:rsidR="0002228B" w:rsidRPr="000E1CBC">
        <w:t>The</w:t>
      </w:r>
      <w:r w:rsidR="006E349F" w:rsidRPr="000E1CBC">
        <w:t xml:space="preserve"> extended permissible suspension period of 10 days is only available to listed entities</w:t>
      </w:r>
      <w:r w:rsidR="00135DF2" w:rsidRPr="000E1CBC">
        <w:t xml:space="preserve"> in certain circumstances</w:t>
      </w:r>
      <w:r w:rsidR="006E349F" w:rsidRPr="000E1CBC">
        <w:t xml:space="preserve">. </w:t>
      </w:r>
    </w:p>
    <w:p w14:paraId="6EB9DD1C" w14:textId="2AC6B8E2" w:rsidR="00B17A9A" w:rsidRPr="000E1CBC" w:rsidRDefault="00B17A9A" w:rsidP="00507120">
      <w:pPr>
        <w:pStyle w:val="LI-BodyTextParaa"/>
        <w:ind w:left="567"/>
      </w:pPr>
      <w:r w:rsidRPr="000E1CBC">
        <w:t>7.</w:t>
      </w:r>
      <w:r w:rsidRPr="000E1CBC">
        <w:tab/>
        <w:t xml:space="preserve">The temporary measures were due to expire in October 2020. The temporary measures will now expire on 1 January 2021.   </w:t>
      </w:r>
    </w:p>
    <w:p w14:paraId="6423C295" w14:textId="70A5559E" w:rsidR="00D752F6" w:rsidRPr="000E1CBC" w:rsidRDefault="00B17A9A" w:rsidP="00507120">
      <w:pPr>
        <w:pStyle w:val="LI-BodyTextParaa"/>
        <w:ind w:left="567"/>
      </w:pPr>
      <w:r w:rsidRPr="000E1CBC">
        <w:t>8</w:t>
      </w:r>
      <w:r w:rsidR="00507120" w:rsidRPr="000E1CBC">
        <w:t>.</w:t>
      </w:r>
      <w:r w:rsidR="00507120" w:rsidRPr="000E1CBC">
        <w:tab/>
      </w:r>
      <w:r w:rsidR="00D752F6" w:rsidRPr="000E1CBC">
        <w:t>ASIC will continue to monitor the appropriateness of these legislative instruments having regard to the state of capital markets</w:t>
      </w:r>
      <w:r w:rsidR="00385A54" w:rsidRPr="000E1CBC">
        <w:t>.</w:t>
      </w:r>
      <w:r w:rsidR="00D752F6" w:rsidRPr="000E1CBC">
        <w:t xml:space="preserve"> </w:t>
      </w:r>
      <w:r w:rsidR="00D752F6" w:rsidRPr="000E1CBC">
        <w:rPr>
          <w:bCs/>
        </w:rPr>
        <w:t xml:space="preserve">The matters ASIC will </w:t>
      </w:r>
      <w:proofErr w:type="gramStart"/>
      <w:r w:rsidR="00D752F6" w:rsidRPr="000E1CBC">
        <w:rPr>
          <w:bCs/>
        </w:rPr>
        <w:t>take into account</w:t>
      </w:r>
      <w:proofErr w:type="gramEnd"/>
      <w:r w:rsidR="00D752F6" w:rsidRPr="000E1CBC">
        <w:rPr>
          <w:bCs/>
        </w:rPr>
        <w:t xml:space="preserve"> include but </w:t>
      </w:r>
      <w:r w:rsidR="00320DC8" w:rsidRPr="000E1CBC">
        <w:rPr>
          <w:bCs/>
        </w:rPr>
        <w:t xml:space="preserve">are </w:t>
      </w:r>
      <w:r w:rsidR="00D752F6" w:rsidRPr="000E1CBC">
        <w:rPr>
          <w:bCs/>
        </w:rPr>
        <w:t xml:space="preserve">not limited to: </w:t>
      </w:r>
    </w:p>
    <w:p w14:paraId="4AECCD0F" w14:textId="453ECDFD" w:rsidR="00530D12" w:rsidRPr="000E1CBC" w:rsidRDefault="00507120" w:rsidP="00507120">
      <w:pPr>
        <w:pStyle w:val="LI-BodyTextParaa"/>
        <w:ind w:left="1134"/>
      </w:pPr>
      <w:r w:rsidRPr="000E1CBC">
        <w:rPr>
          <w:bCs/>
        </w:rPr>
        <w:t>(a)</w:t>
      </w:r>
      <w:r w:rsidRPr="000E1CBC">
        <w:rPr>
          <w:bCs/>
        </w:rPr>
        <w:tab/>
      </w:r>
      <w:r w:rsidR="00D752F6" w:rsidRPr="000E1CBC">
        <w:rPr>
          <w:bCs/>
        </w:rPr>
        <w:t>the extent of the capital raising activities conducted in reliance on the legislative instruments;</w:t>
      </w:r>
    </w:p>
    <w:p w14:paraId="798386BF" w14:textId="2EAB0958" w:rsidR="00D752F6" w:rsidRPr="000E1CBC" w:rsidRDefault="00507120" w:rsidP="00507120">
      <w:pPr>
        <w:pStyle w:val="LI-BodyTextParaa"/>
        <w:ind w:left="1134"/>
      </w:pPr>
      <w:r w:rsidRPr="000E1CBC">
        <w:rPr>
          <w:bCs/>
        </w:rPr>
        <w:t>(b)</w:t>
      </w:r>
      <w:r w:rsidRPr="000E1CBC">
        <w:rPr>
          <w:bCs/>
        </w:rPr>
        <w:tab/>
      </w:r>
      <w:r w:rsidR="00530D12" w:rsidRPr="000E1CBC">
        <w:rPr>
          <w:bCs/>
        </w:rPr>
        <w:t xml:space="preserve">the length of the suspensions required in order to </w:t>
      </w:r>
      <w:r w:rsidR="00130E53" w:rsidRPr="000E1CBC">
        <w:rPr>
          <w:bCs/>
        </w:rPr>
        <w:t xml:space="preserve">execute </w:t>
      </w:r>
      <w:r w:rsidR="00530D12" w:rsidRPr="000E1CBC">
        <w:rPr>
          <w:bCs/>
        </w:rPr>
        <w:t>a capital raising</w:t>
      </w:r>
      <w:r w:rsidR="00385A54" w:rsidRPr="000E1CBC">
        <w:rPr>
          <w:bCs/>
        </w:rPr>
        <w:t xml:space="preserve"> in the current environment</w:t>
      </w:r>
      <w:r w:rsidR="00530D12" w:rsidRPr="000E1CBC">
        <w:rPr>
          <w:bCs/>
        </w:rPr>
        <w:t>;</w:t>
      </w:r>
      <w:r w:rsidR="00D752F6" w:rsidRPr="000E1CBC">
        <w:rPr>
          <w:bCs/>
        </w:rPr>
        <w:t xml:space="preserve"> </w:t>
      </w:r>
    </w:p>
    <w:p w14:paraId="45D54679" w14:textId="6935E4CB" w:rsidR="00D752F6" w:rsidRPr="000E1CBC" w:rsidRDefault="00507120" w:rsidP="00507120">
      <w:pPr>
        <w:pStyle w:val="LI-BodyTextParaa"/>
        <w:ind w:left="1134"/>
      </w:pPr>
      <w:r w:rsidRPr="000E1CBC">
        <w:rPr>
          <w:bCs/>
        </w:rPr>
        <w:t>(c)</w:t>
      </w:r>
      <w:r w:rsidRPr="000E1CBC">
        <w:rPr>
          <w:bCs/>
        </w:rPr>
        <w:tab/>
      </w:r>
      <w:r w:rsidR="00D752F6" w:rsidRPr="000E1CBC">
        <w:rPr>
          <w:bCs/>
        </w:rPr>
        <w:t>the level of market volatility;</w:t>
      </w:r>
      <w:r w:rsidR="00530D12" w:rsidRPr="000E1CBC">
        <w:rPr>
          <w:bCs/>
        </w:rPr>
        <w:t xml:space="preserve"> and</w:t>
      </w:r>
    </w:p>
    <w:p w14:paraId="21FD57D1" w14:textId="68E36989" w:rsidR="00D752F6" w:rsidRPr="000E1CBC" w:rsidRDefault="00507120" w:rsidP="00507120">
      <w:pPr>
        <w:pStyle w:val="LI-BodyTextParaa"/>
        <w:ind w:left="1134"/>
      </w:pPr>
      <w:r w:rsidRPr="000E1CBC">
        <w:rPr>
          <w:bCs/>
        </w:rPr>
        <w:t>(d)</w:t>
      </w:r>
      <w:r w:rsidRPr="000E1CBC">
        <w:rPr>
          <w:bCs/>
        </w:rPr>
        <w:tab/>
      </w:r>
      <w:r w:rsidR="00530D12" w:rsidRPr="000E1CBC">
        <w:rPr>
          <w:bCs/>
        </w:rPr>
        <w:t xml:space="preserve">the extent </w:t>
      </w:r>
      <w:r w:rsidR="00982F25" w:rsidRPr="000E1CBC">
        <w:rPr>
          <w:bCs/>
        </w:rPr>
        <w:t xml:space="preserve">and impact </w:t>
      </w:r>
      <w:r w:rsidR="00530D12" w:rsidRPr="000E1CBC">
        <w:rPr>
          <w:bCs/>
        </w:rPr>
        <w:t xml:space="preserve">of </w:t>
      </w:r>
      <w:r w:rsidR="00130E53" w:rsidRPr="000E1CBC">
        <w:rPr>
          <w:bCs/>
        </w:rPr>
        <w:t xml:space="preserve">any easing of restrictions implemented by state and federal governments in response </w:t>
      </w:r>
      <w:r w:rsidR="00D752F6" w:rsidRPr="000E1CBC">
        <w:rPr>
          <w:bCs/>
        </w:rPr>
        <w:t>to COVID-19.</w:t>
      </w:r>
    </w:p>
    <w:p w14:paraId="0F1EA7D3" w14:textId="77777777" w:rsidR="00982F25" w:rsidRPr="000E1CBC" w:rsidRDefault="00982F25" w:rsidP="000E037F">
      <w:pPr>
        <w:pStyle w:val="LI-BodyTextParaa"/>
        <w:ind w:left="0" w:firstLine="0"/>
        <w:rPr>
          <w:i/>
          <w:iCs/>
        </w:rPr>
      </w:pPr>
      <w:r w:rsidRPr="000E1CBC">
        <w:rPr>
          <w:bCs/>
          <w:i/>
          <w:iCs/>
        </w:rPr>
        <w:t>Financial product advice</w:t>
      </w:r>
    </w:p>
    <w:p w14:paraId="2618F44A" w14:textId="52909FE7" w:rsidR="00F473FB" w:rsidRPr="000E1CBC" w:rsidRDefault="00B17A9A" w:rsidP="00507120">
      <w:pPr>
        <w:pStyle w:val="LI-BodyTextParaa"/>
        <w:ind w:left="567" w:hanging="570"/>
        <w:rPr>
          <w:bCs/>
        </w:rPr>
      </w:pPr>
      <w:r w:rsidRPr="000E1CBC">
        <w:t>9</w:t>
      </w:r>
      <w:r w:rsidR="00507120" w:rsidRPr="000E1CBC">
        <w:t>.</w:t>
      </w:r>
      <w:r w:rsidR="00507120" w:rsidRPr="000E1CBC">
        <w:tab/>
      </w:r>
      <w:r w:rsidR="00D752F6" w:rsidRPr="000E1CBC">
        <w:rPr>
          <w:i/>
          <w:iCs/>
        </w:rPr>
        <w:t xml:space="preserve">ASIC Corporations (COVID-19 – Advice-related Relief) Instrument 2020/355 </w:t>
      </w:r>
      <w:r w:rsidR="00D752F6" w:rsidRPr="000E1CBC">
        <w:t xml:space="preserve">implements three temporary relief measures to facilitate retail clients receiving timely and affordable financial product advice because of the adverse economic effects of </w:t>
      </w:r>
      <w:r w:rsidR="00D052BE" w:rsidRPr="000E1CBC">
        <w:t>the</w:t>
      </w:r>
      <w:r w:rsidR="00D752F6" w:rsidRPr="000E1CBC">
        <w:t xml:space="preserve"> COVID-19</w:t>
      </w:r>
      <w:r w:rsidR="00D052BE" w:rsidRPr="000E1CBC">
        <w:t xml:space="preserve"> pandemic</w:t>
      </w:r>
      <w:r w:rsidR="00F473FB" w:rsidRPr="000E1CBC">
        <w:t>:</w:t>
      </w:r>
    </w:p>
    <w:p w14:paraId="26607BEC" w14:textId="53F56C92" w:rsidR="00F473FB" w:rsidRPr="000E1CBC" w:rsidRDefault="00507120" w:rsidP="00507120">
      <w:pPr>
        <w:pStyle w:val="LI-BodyTextParaa"/>
        <w:ind w:left="1134"/>
        <w:rPr>
          <w:bCs/>
        </w:rPr>
      </w:pPr>
      <w:r w:rsidRPr="000E1CBC">
        <w:t>(a)</w:t>
      </w:r>
      <w:r w:rsidRPr="000E1CBC">
        <w:tab/>
      </w:r>
      <w:r w:rsidR="00F473FB" w:rsidRPr="000E1CBC">
        <w:t xml:space="preserve">with respect to advice about the </w:t>
      </w:r>
      <w:r w:rsidR="00CA5072" w:rsidRPr="000E1CBC">
        <w:rPr>
          <w:i/>
          <w:iCs/>
        </w:rPr>
        <w:t xml:space="preserve">‘Early Release of Superannuation’ </w:t>
      </w:r>
      <w:r w:rsidR="00CA5072" w:rsidRPr="000E1CBC">
        <w:t>measure</w:t>
      </w:r>
      <w:r w:rsidR="00F473FB" w:rsidRPr="000E1CBC">
        <w:t>:</w:t>
      </w:r>
    </w:p>
    <w:p w14:paraId="5E7ED9AF" w14:textId="35E4F3E2" w:rsidR="00AE1DA4" w:rsidRPr="000E1CBC" w:rsidRDefault="00507120" w:rsidP="00507120">
      <w:pPr>
        <w:pStyle w:val="LI-BodyTextParaa"/>
        <w:rPr>
          <w:bCs/>
        </w:rPr>
      </w:pPr>
      <w:r w:rsidRPr="000E1CBC">
        <w:t>(</w:t>
      </w:r>
      <w:proofErr w:type="spellStart"/>
      <w:r w:rsidRPr="000E1CBC">
        <w:t>i</w:t>
      </w:r>
      <w:proofErr w:type="spellEnd"/>
      <w:r w:rsidRPr="000E1CBC">
        <w:t>)</w:t>
      </w:r>
      <w:r w:rsidRPr="000E1CBC">
        <w:tab/>
      </w:r>
      <w:r w:rsidR="00AE1DA4" w:rsidRPr="000E1CBC">
        <w:t xml:space="preserve">allowing </w:t>
      </w:r>
      <w:r w:rsidR="00CA5072" w:rsidRPr="000E1CBC">
        <w:t>providing entities to give financial product advice to clients without the obligation to give</w:t>
      </w:r>
      <w:r w:rsidR="00AE1DA4" w:rsidRPr="000E1CBC">
        <w:t xml:space="preserve"> a Statement of Advice (</w:t>
      </w:r>
      <w:r w:rsidR="00AE1DA4" w:rsidRPr="000E1CBC">
        <w:rPr>
          <w:b/>
          <w:bCs/>
          <w:i/>
          <w:iCs/>
        </w:rPr>
        <w:t>SOA</w:t>
      </w:r>
      <w:r w:rsidR="00AE1DA4" w:rsidRPr="000E1CBC">
        <w:t>)</w:t>
      </w:r>
      <w:r w:rsidR="00CA5072" w:rsidRPr="000E1CBC">
        <w:t xml:space="preserve"> when certain </w:t>
      </w:r>
      <w:r w:rsidR="00AE1DA4" w:rsidRPr="000E1CBC">
        <w:t>conditions</w:t>
      </w:r>
      <w:r w:rsidR="00CA5072" w:rsidRPr="000E1CBC">
        <w:t xml:space="preserve"> are met</w:t>
      </w:r>
      <w:r w:rsidR="00AE1DA4" w:rsidRPr="000E1CBC">
        <w:t>; and</w:t>
      </w:r>
    </w:p>
    <w:p w14:paraId="4371FD51" w14:textId="243462FE" w:rsidR="00AE1DA4" w:rsidRPr="000E1CBC" w:rsidRDefault="00507120" w:rsidP="00507120">
      <w:pPr>
        <w:pStyle w:val="LI-BodyTextParaa"/>
        <w:rPr>
          <w:bCs/>
        </w:rPr>
      </w:pPr>
      <w:r w:rsidRPr="000E1CBC">
        <w:lastRenderedPageBreak/>
        <w:t>(ii)</w:t>
      </w:r>
      <w:r w:rsidRPr="000E1CBC">
        <w:tab/>
      </w:r>
      <w:r w:rsidR="00CA5072" w:rsidRPr="000E1CBC">
        <w:t xml:space="preserve">conditionally </w:t>
      </w:r>
      <w:r w:rsidR="00AE1DA4" w:rsidRPr="000E1CBC">
        <w:t>permitting registered tax agents to give this advice to their existing clients without needing to hold an Australian financial services licence;</w:t>
      </w:r>
    </w:p>
    <w:p w14:paraId="070FF81A" w14:textId="3E9CAE30" w:rsidR="00994FF3" w:rsidRPr="000E1CBC" w:rsidRDefault="00507120" w:rsidP="00507120">
      <w:pPr>
        <w:pStyle w:val="LI-BodyTextParaa"/>
        <w:ind w:left="1134"/>
        <w:rPr>
          <w:bCs/>
        </w:rPr>
      </w:pPr>
      <w:r w:rsidRPr="000E1CBC">
        <w:t>(b)</w:t>
      </w:r>
      <w:r w:rsidRPr="000E1CBC">
        <w:tab/>
      </w:r>
      <w:r w:rsidR="00994FF3" w:rsidRPr="000E1CBC">
        <w:t xml:space="preserve">extending the timeframe for </w:t>
      </w:r>
      <w:r w:rsidR="00E5169C" w:rsidRPr="000E1CBC">
        <w:t xml:space="preserve">a </w:t>
      </w:r>
      <w:r w:rsidR="00C53E2E" w:rsidRPr="000E1CBC">
        <w:t xml:space="preserve">financial </w:t>
      </w:r>
      <w:r w:rsidR="00E5169C" w:rsidRPr="000E1CBC">
        <w:t xml:space="preserve">adviser </w:t>
      </w:r>
      <w:r w:rsidR="00994FF3" w:rsidRPr="000E1CBC">
        <w:t>to give an SOA for time</w:t>
      </w:r>
      <w:r w:rsidR="003958B6" w:rsidRPr="000E1CBC">
        <w:noBreakHyphen/>
      </w:r>
      <w:r w:rsidR="00994FF3" w:rsidRPr="000E1CBC">
        <w:t>critical COVID-19 advice up to 30 business days (instead of five business days that is usually required by s</w:t>
      </w:r>
      <w:r w:rsidR="000E037F" w:rsidRPr="000E1CBC">
        <w:t xml:space="preserve">ection </w:t>
      </w:r>
      <w:r w:rsidR="00994FF3" w:rsidRPr="000E1CBC">
        <w:t>946C of the Act);</w:t>
      </w:r>
    </w:p>
    <w:p w14:paraId="0AADB199" w14:textId="14F4FFA2" w:rsidR="00CA5072" w:rsidRPr="000E1CBC" w:rsidRDefault="00507120" w:rsidP="00507120">
      <w:pPr>
        <w:pStyle w:val="LI-BodyTextParaa"/>
        <w:ind w:left="1134"/>
        <w:rPr>
          <w:bCs/>
        </w:rPr>
      </w:pPr>
      <w:r w:rsidRPr="000E1CBC">
        <w:t>(c)</w:t>
      </w:r>
      <w:r w:rsidRPr="000E1CBC">
        <w:tab/>
      </w:r>
      <w:r w:rsidR="00AE1DA4" w:rsidRPr="000E1CBC">
        <w:t>enabling a Record of Advice to be given instead of a</w:t>
      </w:r>
      <w:r w:rsidR="00CB25E3" w:rsidRPr="000E1CBC">
        <w:t>n</w:t>
      </w:r>
      <w:r w:rsidR="00AE1DA4" w:rsidRPr="000E1CBC">
        <w:t xml:space="preserve"> SOA, in certain defined circumstances to existing clients of </w:t>
      </w:r>
      <w:r w:rsidR="00CA5072" w:rsidRPr="000E1CBC">
        <w:t>providing entities</w:t>
      </w:r>
      <w:r w:rsidR="00994FF3" w:rsidRPr="000E1CBC">
        <w:t>.</w:t>
      </w:r>
    </w:p>
    <w:p w14:paraId="55DB7B82" w14:textId="6944942C" w:rsidR="00B17A9A" w:rsidRPr="000E1CBC" w:rsidRDefault="00B17A9A" w:rsidP="00B17A9A">
      <w:pPr>
        <w:pStyle w:val="LI-BodyTextParaa"/>
        <w:ind w:left="567"/>
      </w:pPr>
      <w:r w:rsidRPr="000E1CBC">
        <w:t>10.</w:t>
      </w:r>
      <w:r w:rsidRPr="000E1CBC">
        <w:tab/>
        <w:t xml:space="preserve">The temporary measures were due to expire in October 2020. The temporary measures will now expire on 15 April 2021.   </w:t>
      </w:r>
    </w:p>
    <w:p w14:paraId="3DFCE209" w14:textId="11933CF2" w:rsidR="00530D12" w:rsidRPr="000E1CBC" w:rsidRDefault="00B17A9A" w:rsidP="00507120">
      <w:pPr>
        <w:pStyle w:val="LI-BodyTextParaa"/>
        <w:ind w:left="567" w:hanging="570"/>
        <w:rPr>
          <w:bCs/>
        </w:rPr>
      </w:pPr>
      <w:r w:rsidRPr="000E1CBC">
        <w:t>11</w:t>
      </w:r>
      <w:r w:rsidR="00507120" w:rsidRPr="000E1CBC">
        <w:t>.</w:t>
      </w:r>
      <w:r w:rsidR="00507120" w:rsidRPr="000E1CBC">
        <w:tab/>
      </w:r>
      <w:r w:rsidR="00530D12" w:rsidRPr="000E1CBC">
        <w:t xml:space="preserve">ASIC will continue to monitor the appropriateness of the relief having regard to </w:t>
      </w:r>
      <w:r w:rsidR="00130E53" w:rsidRPr="000E1CBC">
        <w:t xml:space="preserve">the ongoing impact of COVID-19 on </w:t>
      </w:r>
      <w:r w:rsidR="000D5ABD" w:rsidRPr="000E1CBC">
        <w:t>the need for timely and affordable advice for</w:t>
      </w:r>
      <w:r w:rsidR="00E5169C" w:rsidRPr="000E1CBC">
        <w:t xml:space="preserve"> consumers</w:t>
      </w:r>
      <w:r w:rsidR="00130E53" w:rsidRPr="000E1CBC">
        <w:t>. ASIC will take into consideration the following factors when determining whether relief remains appropriate:</w:t>
      </w:r>
    </w:p>
    <w:p w14:paraId="297845C4" w14:textId="09039993" w:rsidR="00130E53" w:rsidRPr="000E1CBC" w:rsidRDefault="00507120" w:rsidP="00507120">
      <w:pPr>
        <w:pStyle w:val="LI-BodyTextParaa"/>
        <w:ind w:left="1134"/>
        <w:rPr>
          <w:bCs/>
        </w:rPr>
      </w:pPr>
      <w:r w:rsidRPr="000E1CBC">
        <w:t>(a)</w:t>
      </w:r>
      <w:r w:rsidRPr="000E1CBC">
        <w:tab/>
      </w:r>
      <w:r w:rsidR="00130E53" w:rsidRPr="000E1CBC">
        <w:t>whether the adverse economic effect of COVID-19 on consumers has eased;</w:t>
      </w:r>
    </w:p>
    <w:p w14:paraId="06194986" w14:textId="75DBC200" w:rsidR="00130E53" w:rsidRPr="000E1CBC" w:rsidRDefault="00507120" w:rsidP="00507120">
      <w:pPr>
        <w:pStyle w:val="LI-BodyTextParaa"/>
        <w:ind w:left="1134"/>
        <w:rPr>
          <w:bCs/>
        </w:rPr>
      </w:pPr>
      <w:r w:rsidRPr="000E1CBC">
        <w:t>(b)</w:t>
      </w:r>
      <w:r w:rsidRPr="000E1CBC">
        <w:tab/>
      </w:r>
      <w:r w:rsidR="00130E53" w:rsidRPr="000E1CBC">
        <w:t xml:space="preserve">whether the </w:t>
      </w:r>
      <w:r w:rsidR="0035454F" w:rsidRPr="000E1CBC">
        <w:t>G</w:t>
      </w:r>
      <w:r w:rsidR="00130E53" w:rsidRPr="000E1CBC">
        <w:t xml:space="preserve">overnment’s early </w:t>
      </w:r>
      <w:r w:rsidR="003C3910" w:rsidRPr="000E1CBC">
        <w:t>release of</w:t>
      </w:r>
      <w:r w:rsidR="00130E53" w:rsidRPr="000E1CBC">
        <w:t xml:space="preserve"> superannuation measures have concluded; and</w:t>
      </w:r>
    </w:p>
    <w:p w14:paraId="13263A94" w14:textId="39B5CE85" w:rsidR="00130E53" w:rsidRPr="000E1CBC" w:rsidRDefault="00507120" w:rsidP="00507120">
      <w:pPr>
        <w:pStyle w:val="LI-BodyTextParaa"/>
        <w:ind w:left="1134"/>
        <w:rPr>
          <w:bCs/>
        </w:rPr>
      </w:pPr>
      <w:r w:rsidRPr="000E1CBC">
        <w:t>(c)</w:t>
      </w:r>
      <w:r w:rsidRPr="000E1CBC">
        <w:tab/>
      </w:r>
      <w:r w:rsidR="00130E53" w:rsidRPr="000E1CBC">
        <w:t>whether there has been a reduction in the demand for urgent advice from consumers in relation to COVID-19.</w:t>
      </w:r>
    </w:p>
    <w:p w14:paraId="3CA1E947" w14:textId="77777777" w:rsidR="009A3F74" w:rsidRPr="000E1CBC" w:rsidRDefault="009A3F74" w:rsidP="009A3F74">
      <w:pPr>
        <w:pStyle w:val="LI-BodyTextNumbered"/>
        <w:ind w:hanging="1134"/>
        <w:rPr>
          <w:b/>
        </w:rPr>
      </w:pPr>
      <w:bookmarkStart w:id="3" w:name="_Hlk534291624"/>
      <w:r w:rsidRPr="000E1CBC">
        <w:rPr>
          <w:b/>
        </w:rPr>
        <w:t>Consultation</w:t>
      </w:r>
    </w:p>
    <w:p w14:paraId="2A7F1466" w14:textId="55E08880" w:rsidR="009A3F74" w:rsidRPr="000E1CBC" w:rsidRDefault="00E5169C" w:rsidP="00507120">
      <w:pPr>
        <w:pStyle w:val="LI-BodyTextParaa"/>
        <w:ind w:left="567"/>
        <w:rPr>
          <w:bCs/>
        </w:rPr>
      </w:pPr>
      <w:r w:rsidRPr="000E1CBC">
        <w:t>1</w:t>
      </w:r>
      <w:r w:rsidR="00A13641" w:rsidRPr="000E1CBC">
        <w:t>2</w:t>
      </w:r>
      <w:r w:rsidR="00507120" w:rsidRPr="000E1CBC">
        <w:t>.</w:t>
      </w:r>
      <w:r w:rsidR="00507120" w:rsidRPr="000E1CBC">
        <w:tab/>
      </w:r>
      <w:r w:rsidR="007F4605" w:rsidRPr="000E1CBC">
        <w:t xml:space="preserve">Before making this </w:t>
      </w:r>
      <w:r w:rsidR="003C3910" w:rsidRPr="000E1CBC">
        <w:t xml:space="preserve">amending </w:t>
      </w:r>
      <w:r w:rsidR="007F4605" w:rsidRPr="000E1CBC">
        <w:t xml:space="preserve">instrument, </w:t>
      </w:r>
      <w:r w:rsidR="003C3910" w:rsidRPr="000E1CBC">
        <w:t xml:space="preserve">ASIC </w:t>
      </w:r>
      <w:r w:rsidR="00DA442D" w:rsidRPr="000E1CBC">
        <w:t>engaged with a targeted range of stakeholders to invite feedback on extending the temporary relief measures</w:t>
      </w:r>
      <w:r w:rsidR="003C3910" w:rsidRPr="000E1CBC">
        <w:t>.</w:t>
      </w:r>
      <w:r w:rsidR="00A632C2" w:rsidRPr="000E1CBC">
        <w:t xml:space="preserve"> In relation to the capital raisings relief, ASIC engaged with representative legal advisers of listed companies. </w:t>
      </w:r>
      <w:r w:rsidR="00E52EAF" w:rsidRPr="000E1CBC">
        <w:t xml:space="preserve">In relation to </w:t>
      </w:r>
      <w:r w:rsidR="00BD1D9C" w:rsidRPr="000E1CBC">
        <w:t xml:space="preserve">the </w:t>
      </w:r>
      <w:r w:rsidR="00E52EAF" w:rsidRPr="000E1CBC">
        <w:t>financial advice</w:t>
      </w:r>
      <w:r w:rsidR="00BD1D9C" w:rsidRPr="000E1CBC">
        <w:t xml:space="preserve"> relief, </w:t>
      </w:r>
      <w:r w:rsidR="00D121AD" w:rsidRPr="000E1CBC">
        <w:t xml:space="preserve">ASIC engaged with </w:t>
      </w:r>
      <w:r w:rsidR="00E52EAF" w:rsidRPr="000E1CBC">
        <w:t>relevant industry associations, consumer groups and related regulators</w:t>
      </w:r>
      <w:r w:rsidR="00BD1D9C" w:rsidRPr="000E1CBC">
        <w:t>.</w:t>
      </w:r>
    </w:p>
    <w:p w14:paraId="683E4B18" w14:textId="77777777" w:rsidR="005D1FEA" w:rsidRPr="000E1CBC" w:rsidRDefault="005D1FEA" w:rsidP="00CE541A">
      <w:pPr>
        <w:pStyle w:val="LI-BodyTextNumbered"/>
        <w:ind w:hanging="1134"/>
        <w:rPr>
          <w:b/>
        </w:rPr>
      </w:pPr>
      <w:r w:rsidRPr="000E1CBC">
        <w:rPr>
          <w:b/>
        </w:rPr>
        <w:t>Operation of the instrument</w:t>
      </w:r>
    </w:p>
    <w:p w14:paraId="38D3C0D8" w14:textId="3BE8C2B1" w:rsidR="00385A54" w:rsidRPr="000E1CBC" w:rsidRDefault="00507120" w:rsidP="00507120">
      <w:pPr>
        <w:pStyle w:val="LI-BodyTextParaa"/>
        <w:ind w:left="567"/>
      </w:pPr>
      <w:r w:rsidRPr="000E1CBC">
        <w:t>1</w:t>
      </w:r>
      <w:r w:rsidR="00A13641" w:rsidRPr="000E1CBC">
        <w:t>3.</w:t>
      </w:r>
      <w:r w:rsidRPr="000E1CBC">
        <w:tab/>
      </w:r>
      <w:r w:rsidR="00385A54" w:rsidRPr="000E1CBC">
        <w:t xml:space="preserve">The </w:t>
      </w:r>
      <w:r w:rsidR="005722F2" w:rsidRPr="000E1CBC">
        <w:t>amending instrument has the following effect:</w:t>
      </w:r>
    </w:p>
    <w:p w14:paraId="2E99F23D" w14:textId="6B69A98B" w:rsidR="00385A54" w:rsidRPr="000E1CBC" w:rsidRDefault="00507120" w:rsidP="00507120">
      <w:pPr>
        <w:pStyle w:val="LI-BodyTextParaa"/>
        <w:ind w:left="1134"/>
      </w:pPr>
      <w:r w:rsidRPr="000E1CBC">
        <w:t>(a)</w:t>
      </w:r>
      <w:r w:rsidRPr="000E1CBC">
        <w:tab/>
      </w:r>
      <w:r w:rsidR="00385A54" w:rsidRPr="000E1CBC">
        <w:t xml:space="preserve">the </w:t>
      </w:r>
      <w:r w:rsidR="00295F29" w:rsidRPr="000E1CBC">
        <w:t>amendment</w:t>
      </w:r>
      <w:r w:rsidR="00740FFA" w:rsidRPr="000E1CBC">
        <w:t>s</w:t>
      </w:r>
      <w:r w:rsidR="00295F29" w:rsidRPr="000E1CBC">
        <w:t xml:space="preserve"> made </w:t>
      </w:r>
      <w:r w:rsidR="00740FFA" w:rsidRPr="000E1CBC">
        <w:t>by</w:t>
      </w:r>
      <w:r w:rsidR="00385A54" w:rsidRPr="000E1CBC">
        <w:t xml:space="preserve"> </w:t>
      </w:r>
      <w:r w:rsidR="00385A54" w:rsidRPr="000E1CBC">
        <w:rPr>
          <w:i/>
          <w:iCs/>
        </w:rPr>
        <w:t>ASIC Corporations (Amendment) Instrument 2020/290</w:t>
      </w:r>
      <w:r w:rsidR="00B45673" w:rsidRPr="000E1CBC">
        <w:t xml:space="preserve"> will be reversed </w:t>
      </w:r>
      <w:r w:rsidR="00370435" w:rsidRPr="000E1CBC">
        <w:t>on 1 January 2021</w:t>
      </w:r>
      <w:r w:rsidR="009A3570" w:rsidRPr="000E1CBC">
        <w:rPr>
          <w:i/>
          <w:iCs/>
        </w:rPr>
        <w:t>.</w:t>
      </w:r>
      <w:r w:rsidR="00C64873" w:rsidRPr="000E1CBC">
        <w:rPr>
          <w:i/>
          <w:iCs/>
        </w:rPr>
        <w:t xml:space="preserve"> </w:t>
      </w:r>
      <w:r w:rsidR="00C64873" w:rsidRPr="000E1CBC">
        <w:t>Th</w:t>
      </w:r>
      <w:r w:rsidR="00B45673" w:rsidRPr="000E1CBC">
        <w:t>e</w:t>
      </w:r>
      <w:r w:rsidR="00370435" w:rsidRPr="000E1CBC">
        <w:t xml:space="preserve"> effect</w:t>
      </w:r>
      <w:r w:rsidR="00B45673" w:rsidRPr="000E1CBC">
        <w:t xml:space="preserve"> is</w:t>
      </w:r>
      <w:r w:rsidR="00370435" w:rsidRPr="000E1CBC">
        <w:t xml:space="preserve"> that </w:t>
      </w:r>
      <w:r w:rsidR="00370435" w:rsidRPr="000E1CBC">
        <w:rPr>
          <w:i/>
          <w:iCs/>
        </w:rPr>
        <w:t xml:space="preserve">ASIC Corporations (Share and Interest Purchase Plans) Instrument 2019/547 </w:t>
      </w:r>
      <w:r w:rsidR="00370435" w:rsidRPr="000E1CBC">
        <w:t xml:space="preserve">will, on 1 January 2021, return the version in force as at 1 </w:t>
      </w:r>
      <w:r w:rsidR="009A3570" w:rsidRPr="000E1CBC">
        <w:t>April 2020</w:t>
      </w:r>
      <w:r w:rsidR="00385A54" w:rsidRPr="000E1CBC">
        <w:t>;</w:t>
      </w:r>
    </w:p>
    <w:p w14:paraId="62EEEAD8" w14:textId="2B35AD78" w:rsidR="00385A54" w:rsidRPr="000E1CBC" w:rsidRDefault="00507120" w:rsidP="00507120">
      <w:pPr>
        <w:pStyle w:val="LI-BodyTextParaa"/>
        <w:ind w:left="1134"/>
      </w:pPr>
      <w:r w:rsidRPr="000E1CBC">
        <w:t>(b)</w:t>
      </w:r>
      <w:r w:rsidRPr="000E1CBC">
        <w:tab/>
      </w:r>
      <w:r w:rsidR="006C20B4" w:rsidRPr="000E1CBC">
        <w:t xml:space="preserve">inserts a new </w:t>
      </w:r>
      <w:r w:rsidR="008C1F86" w:rsidRPr="000E1CBC">
        <w:t>repeal</w:t>
      </w:r>
      <w:r w:rsidR="006C20B4" w:rsidRPr="000E1CBC">
        <w:t xml:space="preserve"> </w:t>
      </w:r>
      <w:r w:rsidR="007F4605" w:rsidRPr="000E1CBC">
        <w:t xml:space="preserve">date </w:t>
      </w:r>
      <w:r w:rsidR="006C20B4" w:rsidRPr="000E1CBC">
        <w:t>so that</w:t>
      </w:r>
      <w:r w:rsidR="008C1F86" w:rsidRPr="000E1CBC">
        <w:t xml:space="preserve"> the declaration </w:t>
      </w:r>
      <w:r w:rsidR="00295F29" w:rsidRPr="000E1CBC">
        <w:t xml:space="preserve">made </w:t>
      </w:r>
      <w:r w:rsidR="008C1F86" w:rsidRPr="000E1CBC">
        <w:t xml:space="preserve">under </w:t>
      </w:r>
      <w:r w:rsidR="00385A54" w:rsidRPr="000E1CBC">
        <w:rPr>
          <w:i/>
          <w:iCs/>
        </w:rPr>
        <w:t>ASIC Corporations (Trading Suspension</w:t>
      </w:r>
      <w:r w:rsidR="00E546E5" w:rsidRPr="000E1CBC">
        <w:rPr>
          <w:i/>
          <w:iCs/>
        </w:rPr>
        <w:t>s</w:t>
      </w:r>
      <w:r w:rsidR="00385A54" w:rsidRPr="000E1CBC">
        <w:rPr>
          <w:i/>
          <w:iCs/>
        </w:rPr>
        <w:t xml:space="preserve"> Relief) Instrument 2020/289</w:t>
      </w:r>
      <w:r w:rsidR="00263772" w:rsidRPr="000E1CBC">
        <w:rPr>
          <w:i/>
          <w:iCs/>
        </w:rPr>
        <w:t xml:space="preserve"> </w:t>
      </w:r>
      <w:r w:rsidR="00263772" w:rsidRPr="000E1CBC">
        <w:t>is repealed</w:t>
      </w:r>
      <w:r w:rsidR="00091E73" w:rsidRPr="000E1CBC">
        <w:t xml:space="preserve"> on 1 January 2021</w:t>
      </w:r>
      <w:r w:rsidR="00385A54" w:rsidRPr="000E1CBC">
        <w:t>; and</w:t>
      </w:r>
    </w:p>
    <w:p w14:paraId="02B454C3" w14:textId="4F9A2551" w:rsidR="00091F39" w:rsidRPr="000E1CBC" w:rsidRDefault="00507120" w:rsidP="00507120">
      <w:pPr>
        <w:pStyle w:val="LI-BodyTextParaa"/>
        <w:ind w:left="1134"/>
      </w:pPr>
      <w:r w:rsidRPr="000E1CBC">
        <w:lastRenderedPageBreak/>
        <w:t>(c)</w:t>
      </w:r>
      <w:r w:rsidRPr="000E1CBC">
        <w:tab/>
      </w:r>
      <w:r w:rsidR="008A05A3" w:rsidRPr="000E1CBC">
        <w:t xml:space="preserve">inserts a new repeal </w:t>
      </w:r>
      <w:r w:rsidR="007F4605" w:rsidRPr="000E1CBC">
        <w:t xml:space="preserve">date </w:t>
      </w:r>
      <w:r w:rsidR="008A05A3" w:rsidRPr="000E1CBC">
        <w:t>so that</w:t>
      </w:r>
      <w:r w:rsidR="008C1F86" w:rsidRPr="000E1CBC">
        <w:t xml:space="preserve"> the exemption and declaration </w:t>
      </w:r>
      <w:r w:rsidR="00295F29" w:rsidRPr="000E1CBC">
        <w:t xml:space="preserve">made </w:t>
      </w:r>
      <w:r w:rsidR="008C1F86" w:rsidRPr="000E1CBC">
        <w:t xml:space="preserve">under </w:t>
      </w:r>
      <w:r w:rsidR="00385A54" w:rsidRPr="000E1CBC">
        <w:rPr>
          <w:i/>
          <w:iCs/>
        </w:rPr>
        <w:t>ASIC Corporations (COVID-19 – Advice-related Relief) Instrument 2020/355</w:t>
      </w:r>
      <w:r w:rsidR="00385A54" w:rsidRPr="000E1CBC">
        <w:t xml:space="preserve"> </w:t>
      </w:r>
      <w:r w:rsidR="008A05A3" w:rsidRPr="000E1CBC">
        <w:t>is repealed on</w:t>
      </w:r>
      <w:r w:rsidR="003A3724" w:rsidRPr="000E1CBC">
        <w:t xml:space="preserve"> </w:t>
      </w:r>
      <w:r w:rsidR="008A05A3" w:rsidRPr="000E1CBC">
        <w:t xml:space="preserve">15 </w:t>
      </w:r>
      <w:r w:rsidR="00EA0725" w:rsidRPr="000E1CBC">
        <w:t>April</w:t>
      </w:r>
      <w:r w:rsidR="008A05A3" w:rsidRPr="000E1CBC">
        <w:t xml:space="preserve"> 202</w:t>
      </w:r>
      <w:r w:rsidR="00EA0725" w:rsidRPr="000E1CBC">
        <w:t>1</w:t>
      </w:r>
      <w:r w:rsidR="00385A54" w:rsidRPr="000E1CBC">
        <w:t>.</w:t>
      </w:r>
      <w:r w:rsidR="005532A1" w:rsidRPr="000E1CBC">
        <w:t xml:space="preserve"> </w:t>
      </w:r>
    </w:p>
    <w:p w14:paraId="01B69C4B" w14:textId="70CDFAE9" w:rsidR="000A0C97" w:rsidRPr="000E1CBC" w:rsidRDefault="00507120" w:rsidP="00507120">
      <w:pPr>
        <w:pStyle w:val="LI-BodyTextParaa"/>
        <w:ind w:left="567"/>
        <w:rPr>
          <w:iCs/>
        </w:rPr>
      </w:pPr>
      <w:r w:rsidRPr="000E1CBC">
        <w:t>1</w:t>
      </w:r>
      <w:r w:rsidR="00A13641" w:rsidRPr="000E1CBC">
        <w:t>4</w:t>
      </w:r>
      <w:r w:rsidRPr="000E1CBC">
        <w:t>.</w:t>
      </w:r>
      <w:r w:rsidRPr="000E1CBC">
        <w:tab/>
      </w:r>
      <w:r w:rsidR="00EB7958" w:rsidRPr="000E1CBC">
        <w:t>T</w:t>
      </w:r>
      <w:r w:rsidR="00F23125" w:rsidRPr="000E1CBC">
        <w:t>he amending instrument commences</w:t>
      </w:r>
      <w:r w:rsidR="00EB7958" w:rsidRPr="000E1CBC">
        <w:t xml:space="preserve"> </w:t>
      </w:r>
      <w:r w:rsidR="00E7343A" w:rsidRPr="000E1CBC">
        <w:t>on the day after it is registered on the Federal Register of Legislation.</w:t>
      </w:r>
    </w:p>
    <w:bookmarkEnd w:id="3"/>
    <w:p w14:paraId="0097C5BA" w14:textId="6E360248" w:rsidR="00F03BB5" w:rsidRPr="000E1CBC" w:rsidRDefault="00474B52" w:rsidP="000E037F">
      <w:pPr>
        <w:pStyle w:val="LI-BodyTextUnnumbered"/>
        <w:ind w:left="0"/>
        <w:rPr>
          <w:b/>
        </w:rPr>
      </w:pPr>
      <w:r w:rsidRPr="000E1CBC">
        <w:rPr>
          <w:b/>
        </w:rPr>
        <w:t>Legislative authority</w:t>
      </w:r>
    </w:p>
    <w:p w14:paraId="598923BF" w14:textId="3EB703F2" w:rsidR="005722F2" w:rsidRPr="000E1CBC" w:rsidRDefault="00507120" w:rsidP="00507120">
      <w:pPr>
        <w:pStyle w:val="LI-BodyTextParaa"/>
        <w:ind w:left="567"/>
      </w:pPr>
      <w:r w:rsidRPr="000E1CBC">
        <w:t>1</w:t>
      </w:r>
      <w:r w:rsidR="00A13641" w:rsidRPr="000E1CBC">
        <w:t>5</w:t>
      </w:r>
      <w:r w:rsidRPr="000E1CBC">
        <w:t>.</w:t>
      </w:r>
      <w:r w:rsidRPr="000E1CBC">
        <w:tab/>
      </w:r>
      <w:r w:rsidR="004E2791" w:rsidRPr="000E1CBC">
        <w:t>Th</w:t>
      </w:r>
      <w:r w:rsidR="005722F2" w:rsidRPr="000E1CBC">
        <w:t xml:space="preserve">e amending </w:t>
      </w:r>
      <w:r w:rsidR="004E2791" w:rsidRPr="000E1CBC">
        <w:t xml:space="preserve">instrument is made under subsections 741(1), 926A(2), 951B(1) and 1020F(1) of the Act. </w:t>
      </w:r>
    </w:p>
    <w:p w14:paraId="7D2D328C" w14:textId="5D8E096A" w:rsidR="00072305" w:rsidRPr="000E1CBC" w:rsidRDefault="00507120" w:rsidP="00507120">
      <w:pPr>
        <w:pStyle w:val="LI-BodyTextParaa"/>
        <w:ind w:left="567"/>
      </w:pPr>
      <w:r w:rsidRPr="000E1CBC">
        <w:t>1</w:t>
      </w:r>
      <w:r w:rsidR="00A13641" w:rsidRPr="000E1CBC">
        <w:t>6</w:t>
      </w:r>
      <w:r w:rsidRPr="000E1CBC">
        <w:t>.</w:t>
      </w:r>
      <w:r w:rsidRPr="000E1CBC">
        <w:tab/>
      </w:r>
      <w:r w:rsidR="005722F2" w:rsidRPr="000E1CBC">
        <w:t>Subsection 741(1) provides that ASIC may declare that Chapter 6D of the Act applies to all persons or a specified class of persons as if specified provisions of that Chapter were modified or varied as specified in the declaration.</w:t>
      </w:r>
    </w:p>
    <w:p w14:paraId="49F91A32" w14:textId="427C8F68" w:rsidR="00072305" w:rsidRPr="000E1CBC" w:rsidRDefault="00507120" w:rsidP="00507120">
      <w:pPr>
        <w:pStyle w:val="LI-BodyTextParaa"/>
        <w:ind w:left="567"/>
      </w:pPr>
      <w:r w:rsidRPr="000E1CBC">
        <w:t>1</w:t>
      </w:r>
      <w:r w:rsidR="00A13641" w:rsidRPr="000E1CBC">
        <w:t>7</w:t>
      </w:r>
      <w:r w:rsidRPr="000E1CBC">
        <w:t>.</w:t>
      </w:r>
      <w:r w:rsidRPr="000E1CBC">
        <w:tab/>
      </w:r>
      <w:r w:rsidR="00072305" w:rsidRPr="000E1CBC">
        <w:t>Subsection 951B(1) provides that ASIC may exempt a class of persons from all or specified provisions of Part 7.7 of the Act. It also provides that ASIC may declare that Part 7.7 applies in relation to a class of persons as if specified provisions of Part 7.7 were omitted, modified or varied as specified in the declaration.</w:t>
      </w:r>
    </w:p>
    <w:p w14:paraId="746EDB62" w14:textId="079A1C34" w:rsidR="00072305" w:rsidRPr="000E1CBC" w:rsidRDefault="00507120" w:rsidP="00507120">
      <w:pPr>
        <w:pStyle w:val="LI-BodyTextParaa"/>
        <w:ind w:left="567"/>
      </w:pPr>
      <w:r w:rsidRPr="000E1CBC">
        <w:t>1</w:t>
      </w:r>
      <w:r w:rsidR="00A13641" w:rsidRPr="000E1CBC">
        <w:t>8</w:t>
      </w:r>
      <w:r w:rsidRPr="000E1CBC">
        <w:t>.</w:t>
      </w:r>
      <w:r w:rsidRPr="000E1CBC">
        <w:tab/>
      </w:r>
      <w:r w:rsidR="00072305" w:rsidRPr="000E1CBC">
        <w:t xml:space="preserve">Subsection 926A(2) of the Act provides that ASIC may exempt a class of persons from all or specified provisions of Part 7.6 of the Act (other than Divisions 4 and 8). </w:t>
      </w:r>
    </w:p>
    <w:p w14:paraId="5BE33C08" w14:textId="20AA35C7" w:rsidR="00072305" w:rsidRPr="000E1CBC" w:rsidRDefault="00507120" w:rsidP="00507120">
      <w:pPr>
        <w:pStyle w:val="LI-BodyTextParaa"/>
        <w:ind w:left="567"/>
      </w:pPr>
      <w:r w:rsidRPr="000E1CBC">
        <w:t>1</w:t>
      </w:r>
      <w:r w:rsidR="00A13641" w:rsidRPr="000E1CBC">
        <w:t>9</w:t>
      </w:r>
      <w:r w:rsidRPr="000E1CBC">
        <w:t>.</w:t>
      </w:r>
      <w:r w:rsidRPr="000E1CBC">
        <w:tab/>
      </w:r>
      <w:r w:rsidR="005722F2" w:rsidRPr="000E1CBC">
        <w:t>Subsection 1020F(1) provides that ASIC may declare that Part 7.9 of the Act applies in relation to a class of persons as if specified provisions were modified or varied as specified in the declaration.</w:t>
      </w:r>
    </w:p>
    <w:p w14:paraId="3782DB72" w14:textId="1626948A" w:rsidR="00072305" w:rsidRPr="000E1CBC" w:rsidRDefault="00A13641" w:rsidP="00507120">
      <w:pPr>
        <w:pStyle w:val="LI-BodyTextParaa"/>
        <w:ind w:left="567"/>
      </w:pPr>
      <w:r w:rsidRPr="000E1CBC">
        <w:t>20</w:t>
      </w:r>
      <w:r w:rsidR="00507120" w:rsidRPr="000E1CBC">
        <w:t>.</w:t>
      </w:r>
      <w:r w:rsidR="00507120" w:rsidRPr="000E1CBC">
        <w:tab/>
      </w:r>
      <w:r w:rsidR="005722F2" w:rsidRPr="000E1CBC">
        <w:t xml:space="preserve">Under subsection 33(3) of the </w:t>
      </w:r>
      <w:r w:rsidR="005722F2" w:rsidRPr="000E1CBC">
        <w:rPr>
          <w:i/>
        </w:rPr>
        <w:t>Acts Interpretation Act 1901</w:t>
      </w:r>
      <w:r w:rsidR="005722F2" w:rsidRPr="000E1CBC">
        <w:t>), where an Act confers a power to make any instrument, the power is to be construed as including a power exercisable in the like manner and subject to the like conditions (if any) to amend any such instrument.</w:t>
      </w:r>
    </w:p>
    <w:p w14:paraId="32296467" w14:textId="71902243" w:rsidR="005722F2" w:rsidRPr="000E1CBC" w:rsidRDefault="00A13641" w:rsidP="00507120">
      <w:pPr>
        <w:pStyle w:val="LI-BodyTextParaa"/>
        <w:ind w:left="567"/>
      </w:pPr>
      <w:r w:rsidRPr="000E1CBC">
        <w:t>21</w:t>
      </w:r>
      <w:r w:rsidR="00507120" w:rsidRPr="000E1CBC">
        <w:t>.</w:t>
      </w:r>
      <w:r w:rsidR="00507120" w:rsidRPr="000E1CBC">
        <w:tab/>
      </w:r>
      <w:r w:rsidR="005722F2" w:rsidRPr="000E1CBC">
        <w:t xml:space="preserve">The amending instrument is </w:t>
      </w:r>
      <w:r w:rsidR="00320DC8" w:rsidRPr="000E1CBC">
        <w:t xml:space="preserve">a </w:t>
      </w:r>
      <w:r w:rsidR="005722F2" w:rsidRPr="000E1CBC">
        <w:t>disallowable legislative instrument.</w:t>
      </w:r>
    </w:p>
    <w:p w14:paraId="78FDA1E6" w14:textId="7F51A253" w:rsidR="00072305" w:rsidRPr="000E1CBC" w:rsidRDefault="00072305" w:rsidP="00072305">
      <w:pPr>
        <w:pStyle w:val="LI-BodyTextParaa"/>
        <w:ind w:left="0" w:firstLine="0"/>
        <w:rPr>
          <w:u w:val="single"/>
        </w:rPr>
      </w:pPr>
      <w:r w:rsidRPr="000E1CBC">
        <w:rPr>
          <w:u w:val="single"/>
        </w:rPr>
        <w:t>Legislative instrument and primary legislation</w:t>
      </w:r>
      <w:r w:rsidR="008B6B0C" w:rsidRPr="000E1CBC">
        <w:rPr>
          <w:u w:val="single"/>
        </w:rPr>
        <w:t>s</w:t>
      </w:r>
    </w:p>
    <w:p w14:paraId="3538F6A2" w14:textId="4B2D891D" w:rsidR="00072305" w:rsidRPr="000E1CBC" w:rsidRDefault="00E5169C" w:rsidP="00507120">
      <w:pPr>
        <w:pStyle w:val="LI-BodyTextParaa"/>
        <w:ind w:left="567"/>
      </w:pPr>
      <w:r w:rsidRPr="000E1CBC">
        <w:t>2</w:t>
      </w:r>
      <w:r w:rsidR="00A13641" w:rsidRPr="000E1CBC">
        <w:t>2</w:t>
      </w:r>
      <w:r w:rsidR="00507120" w:rsidRPr="000E1CBC">
        <w:t>.</w:t>
      </w:r>
      <w:r w:rsidR="00507120" w:rsidRPr="000E1CBC">
        <w:tab/>
      </w:r>
      <w:r w:rsidR="00072305" w:rsidRPr="000E1CBC">
        <w:t xml:space="preserve">The subject matter and policy implemented by the amending instrument is more appropriate for a legislative instrument rather than primary legislation because the instruments utilise powers given by Parliament to ASIC that allow ASIC to affect the operation of Chapter 6D, Parts 7.6, 7.7 and 7.9 of the Act to respond quickly and temporarily to market developments, including in connection with or arising from </w:t>
      </w:r>
      <w:r w:rsidR="00072305" w:rsidRPr="000E1CBC">
        <w:rPr>
          <w:bCs/>
        </w:rPr>
        <w:t>COVID-19.</w:t>
      </w:r>
    </w:p>
    <w:p w14:paraId="655A64EA" w14:textId="77777777" w:rsidR="00EA17A6" w:rsidRPr="000E1CBC" w:rsidRDefault="00EA17A6" w:rsidP="00435EEF">
      <w:pPr>
        <w:pStyle w:val="LI-BodyTextParaa"/>
        <w:ind w:left="567"/>
        <w:rPr>
          <w:b/>
        </w:rPr>
      </w:pPr>
      <w:r w:rsidRPr="000E1CBC">
        <w:rPr>
          <w:b/>
        </w:rPr>
        <w:t xml:space="preserve">Statement of Compatibility with Human Rights  </w:t>
      </w:r>
    </w:p>
    <w:p w14:paraId="57DE4A76" w14:textId="599210B6" w:rsidR="00223DCF" w:rsidRPr="000E1CBC" w:rsidRDefault="00507120" w:rsidP="00507120">
      <w:pPr>
        <w:pStyle w:val="LI-BodyTextParaa"/>
        <w:ind w:left="567"/>
      </w:pPr>
      <w:r w:rsidRPr="000E1CBC">
        <w:t>2</w:t>
      </w:r>
      <w:r w:rsidR="00A13641" w:rsidRPr="000E1CBC">
        <w:t>3</w:t>
      </w:r>
      <w:r w:rsidRPr="000E1CBC">
        <w:t>.</w:t>
      </w:r>
      <w:r w:rsidRPr="000E1CBC">
        <w:tab/>
      </w:r>
      <w:r w:rsidR="00223DCF" w:rsidRPr="000E1CBC">
        <w:t xml:space="preserve">The Explanatory Statement for a disallowable legislative instrument must contain a Statement of Compatibility with Human Rights under subsection 9(1) </w:t>
      </w:r>
      <w:r w:rsidR="00223DCF" w:rsidRPr="000E1CBC">
        <w:lastRenderedPageBreak/>
        <w:t xml:space="preserve">of the </w:t>
      </w:r>
      <w:r w:rsidR="00223DCF" w:rsidRPr="000E1CBC">
        <w:rPr>
          <w:i/>
          <w:iCs/>
        </w:rPr>
        <w:t>Human Rights (Parliamentary Scrutiny) Act 2011.</w:t>
      </w:r>
      <w:r w:rsidR="00223DCF" w:rsidRPr="000E1CBC">
        <w:rPr>
          <w:iCs/>
        </w:rPr>
        <w:t xml:space="preserve"> </w:t>
      </w:r>
      <w:r w:rsidR="00223DCF" w:rsidRPr="000E1CBC">
        <w:t xml:space="preserve">A Statement of Compatibility with Human Rights is in the </w:t>
      </w:r>
      <w:r w:rsidR="00223DCF" w:rsidRPr="000E1CBC">
        <w:rPr>
          <w:u w:val="single"/>
        </w:rPr>
        <w:t>Attachment</w:t>
      </w:r>
      <w:r w:rsidR="00223DCF" w:rsidRPr="000E1CBC">
        <w:t xml:space="preserve">. </w:t>
      </w:r>
    </w:p>
    <w:p w14:paraId="05DB6876" w14:textId="77777777" w:rsidR="00223DCF" w:rsidRPr="000E1CBC" w:rsidRDefault="00223DCF" w:rsidP="00223DCF">
      <w:pPr>
        <w:pStyle w:val="LI-BodyTextParaa"/>
        <w:ind w:left="567"/>
        <w:jc w:val="right"/>
        <w:rPr>
          <w:u w:val="single"/>
        </w:rPr>
      </w:pPr>
      <w:r w:rsidRPr="000E1CBC">
        <w:br w:type="page"/>
      </w:r>
      <w:r w:rsidRPr="000E1CBC">
        <w:rPr>
          <w:u w:val="single"/>
        </w:rPr>
        <w:lastRenderedPageBreak/>
        <w:t xml:space="preserve">Attachment </w:t>
      </w:r>
    </w:p>
    <w:p w14:paraId="4D43374E" w14:textId="77777777" w:rsidR="00A15512" w:rsidRPr="000E1CBC" w:rsidRDefault="001E77ED" w:rsidP="00223DCF">
      <w:pPr>
        <w:pStyle w:val="LI-BodyTextParaa"/>
        <w:ind w:left="567"/>
        <w:jc w:val="center"/>
        <w:rPr>
          <w:b/>
          <w:sz w:val="28"/>
          <w:szCs w:val="28"/>
        </w:rPr>
      </w:pPr>
      <w:r w:rsidRPr="000E1CBC">
        <w:rPr>
          <w:b/>
          <w:sz w:val="28"/>
          <w:szCs w:val="28"/>
        </w:rPr>
        <w:t xml:space="preserve">Statement of </w:t>
      </w:r>
      <w:r w:rsidR="00223DCF" w:rsidRPr="000E1CBC">
        <w:rPr>
          <w:b/>
          <w:sz w:val="28"/>
          <w:szCs w:val="28"/>
        </w:rPr>
        <w:t>C</w:t>
      </w:r>
      <w:r w:rsidRPr="000E1CBC">
        <w:rPr>
          <w:b/>
          <w:sz w:val="28"/>
          <w:szCs w:val="28"/>
        </w:rPr>
        <w:t xml:space="preserve">ompatibility with </w:t>
      </w:r>
      <w:r w:rsidR="00223DCF" w:rsidRPr="000E1CBC">
        <w:rPr>
          <w:b/>
          <w:sz w:val="28"/>
          <w:szCs w:val="28"/>
        </w:rPr>
        <w:t>H</w:t>
      </w:r>
      <w:r w:rsidRPr="000E1CBC">
        <w:rPr>
          <w:b/>
          <w:sz w:val="28"/>
          <w:szCs w:val="28"/>
        </w:rPr>
        <w:t xml:space="preserve">uman </w:t>
      </w:r>
      <w:r w:rsidR="00223DCF" w:rsidRPr="000E1CBC">
        <w:rPr>
          <w:b/>
          <w:sz w:val="28"/>
          <w:szCs w:val="28"/>
        </w:rPr>
        <w:t>R</w:t>
      </w:r>
      <w:r w:rsidRPr="000E1CBC">
        <w:rPr>
          <w:b/>
          <w:sz w:val="28"/>
          <w:szCs w:val="28"/>
        </w:rPr>
        <w:t>ights</w:t>
      </w:r>
    </w:p>
    <w:p w14:paraId="6B11530D" w14:textId="77777777" w:rsidR="00223DCF" w:rsidRPr="000E1CBC" w:rsidRDefault="00223DCF" w:rsidP="00223DCF">
      <w:pPr>
        <w:pStyle w:val="LI-BodyTextNumbered"/>
        <w:ind w:left="0" w:firstLine="0"/>
        <w:rPr>
          <w:iCs/>
        </w:rPr>
      </w:pPr>
      <w:bookmarkStart w:id="4" w:name="_Hlk534286677"/>
      <w:r w:rsidRPr="000E1CBC">
        <w:rPr>
          <w:iCs/>
        </w:rPr>
        <w:t xml:space="preserve">This Statement of Compatibility with Human Rights is prepared in accordance with Part 3 of </w:t>
      </w:r>
      <w:bookmarkStart w:id="5" w:name="_Hlk4054932"/>
      <w:r w:rsidRPr="000E1CBC">
        <w:rPr>
          <w:iCs/>
        </w:rPr>
        <w:t xml:space="preserve">the </w:t>
      </w:r>
      <w:r w:rsidRPr="000E1CBC">
        <w:rPr>
          <w:i/>
          <w:iCs/>
        </w:rPr>
        <w:t>Human Rights (Parliamentary Scrutiny) Act 2011</w:t>
      </w:r>
      <w:bookmarkEnd w:id="5"/>
      <w:r w:rsidRPr="000E1CBC">
        <w:rPr>
          <w:iCs/>
        </w:rPr>
        <w:t xml:space="preserve">.   </w:t>
      </w:r>
    </w:p>
    <w:p w14:paraId="12AC0267" w14:textId="446FB971" w:rsidR="008740F9" w:rsidRPr="000E1CBC" w:rsidRDefault="008740F9" w:rsidP="001872DC">
      <w:pPr>
        <w:pStyle w:val="LI-BodyTextNumbered"/>
        <w:ind w:left="567"/>
        <w:rPr>
          <w:b/>
          <w:i/>
        </w:rPr>
      </w:pPr>
      <w:r w:rsidRPr="000E1CBC">
        <w:rPr>
          <w:b/>
          <w:i/>
        </w:rPr>
        <w:t>ASIC Corporation</w:t>
      </w:r>
      <w:r w:rsidR="00740FFA" w:rsidRPr="000E1CBC">
        <w:rPr>
          <w:b/>
          <w:i/>
        </w:rPr>
        <w:t>s</w:t>
      </w:r>
      <w:r w:rsidRPr="000E1CBC">
        <w:rPr>
          <w:b/>
          <w:i/>
        </w:rPr>
        <w:t xml:space="preserve"> (Amendment) Instrument 2020</w:t>
      </w:r>
      <w:r w:rsidR="003F46A1" w:rsidRPr="000E1CBC">
        <w:rPr>
          <w:b/>
          <w:i/>
        </w:rPr>
        <w:t>/</w:t>
      </w:r>
      <w:r w:rsidR="00740FFA" w:rsidRPr="000E1CBC">
        <w:rPr>
          <w:b/>
          <w:i/>
        </w:rPr>
        <w:t>862</w:t>
      </w:r>
      <w:r w:rsidRPr="000E1CBC">
        <w:rPr>
          <w:b/>
          <w:i/>
        </w:rPr>
        <w:t xml:space="preserve"> </w:t>
      </w:r>
    </w:p>
    <w:p w14:paraId="6BE4D373" w14:textId="77777777" w:rsidR="00223DCF" w:rsidRPr="000E1CBC" w:rsidRDefault="00223DCF" w:rsidP="001872DC">
      <w:pPr>
        <w:pStyle w:val="LI-BodyTextNumbered"/>
        <w:ind w:left="567"/>
        <w:rPr>
          <w:u w:val="single"/>
        </w:rPr>
      </w:pPr>
      <w:r w:rsidRPr="000E1CBC">
        <w:rPr>
          <w:u w:val="single"/>
        </w:rPr>
        <w:t>Overview</w:t>
      </w:r>
    </w:p>
    <w:p w14:paraId="4490DF29" w14:textId="11E0B60D" w:rsidR="008740F9" w:rsidRPr="000E1CBC" w:rsidRDefault="00CB2D96" w:rsidP="008740F9">
      <w:pPr>
        <w:spacing w:before="240" w:line="240" w:lineRule="auto"/>
        <w:ind w:left="567" w:hanging="567"/>
        <w:rPr>
          <w:rFonts w:eastAsia="Times New Roman"/>
          <w:sz w:val="24"/>
          <w:szCs w:val="24"/>
          <w:lang w:eastAsia="en-AU"/>
        </w:rPr>
      </w:pPr>
      <w:r w:rsidRPr="000E1CBC">
        <w:rPr>
          <w:rFonts w:eastAsia="Times New Roman"/>
          <w:sz w:val="24"/>
          <w:szCs w:val="24"/>
          <w:lang w:eastAsia="en-AU"/>
        </w:rPr>
        <w:t>1.</w:t>
      </w:r>
      <w:r w:rsidRPr="000E1CBC">
        <w:rPr>
          <w:rFonts w:eastAsia="Times New Roman"/>
          <w:sz w:val="24"/>
          <w:szCs w:val="24"/>
          <w:lang w:eastAsia="en-AU"/>
        </w:rPr>
        <w:tab/>
      </w:r>
      <w:r w:rsidR="008740F9" w:rsidRPr="000E1CBC">
        <w:rPr>
          <w:rFonts w:eastAsia="Times New Roman"/>
          <w:i/>
          <w:iCs/>
          <w:sz w:val="24"/>
          <w:szCs w:val="24"/>
          <w:lang w:eastAsia="en-AU"/>
        </w:rPr>
        <w:t>ASIC Corporation</w:t>
      </w:r>
      <w:r w:rsidR="000E1CBC">
        <w:rPr>
          <w:rFonts w:eastAsia="Times New Roman"/>
          <w:i/>
          <w:iCs/>
          <w:sz w:val="24"/>
          <w:szCs w:val="24"/>
          <w:lang w:eastAsia="en-AU"/>
        </w:rPr>
        <w:t>s</w:t>
      </w:r>
      <w:r w:rsidR="008740F9" w:rsidRPr="000E1CBC">
        <w:rPr>
          <w:rFonts w:eastAsia="Times New Roman"/>
          <w:i/>
          <w:iCs/>
          <w:sz w:val="24"/>
          <w:szCs w:val="24"/>
          <w:lang w:eastAsia="en-AU"/>
        </w:rPr>
        <w:t xml:space="preserve"> (Amendment) Instrument 2020</w:t>
      </w:r>
      <w:r w:rsidR="003F46A1" w:rsidRPr="000E1CBC">
        <w:rPr>
          <w:rFonts w:eastAsia="Times New Roman"/>
          <w:i/>
          <w:iCs/>
          <w:sz w:val="24"/>
          <w:szCs w:val="24"/>
          <w:lang w:eastAsia="en-AU"/>
        </w:rPr>
        <w:t>/</w:t>
      </w:r>
      <w:r w:rsidR="00550058" w:rsidRPr="000E1CBC">
        <w:rPr>
          <w:rFonts w:eastAsia="Times New Roman"/>
          <w:i/>
          <w:iCs/>
          <w:sz w:val="24"/>
          <w:szCs w:val="24"/>
          <w:lang w:eastAsia="en-AU"/>
        </w:rPr>
        <w:t>862</w:t>
      </w:r>
      <w:r w:rsidR="008740F9" w:rsidRPr="000E1CBC">
        <w:rPr>
          <w:rFonts w:eastAsia="Times New Roman"/>
          <w:sz w:val="24"/>
          <w:szCs w:val="24"/>
          <w:lang w:eastAsia="en-AU"/>
        </w:rPr>
        <w:t xml:space="preserve"> amends the following legislative instruments:</w:t>
      </w:r>
    </w:p>
    <w:p w14:paraId="04CDEF74" w14:textId="06C94A8A" w:rsidR="008740F9" w:rsidRPr="000E1CBC" w:rsidRDefault="00507120" w:rsidP="00507120">
      <w:pPr>
        <w:spacing w:before="240" w:line="240" w:lineRule="auto"/>
        <w:ind w:left="1134" w:hanging="567"/>
        <w:rPr>
          <w:rFonts w:eastAsia="Times New Roman"/>
          <w:sz w:val="24"/>
          <w:szCs w:val="24"/>
          <w:lang w:eastAsia="en-AU"/>
        </w:rPr>
      </w:pPr>
      <w:r w:rsidRPr="000E1CBC">
        <w:rPr>
          <w:rFonts w:eastAsia="Times New Roman"/>
          <w:sz w:val="24"/>
          <w:szCs w:val="24"/>
          <w:lang w:eastAsia="en-AU"/>
        </w:rPr>
        <w:t>(a)</w:t>
      </w:r>
      <w:r w:rsidRPr="000E1CBC">
        <w:rPr>
          <w:rFonts w:eastAsia="Times New Roman"/>
          <w:sz w:val="24"/>
          <w:szCs w:val="24"/>
          <w:lang w:eastAsia="en-AU"/>
        </w:rPr>
        <w:tab/>
      </w:r>
      <w:r w:rsidR="008740F9" w:rsidRPr="000E1CBC">
        <w:rPr>
          <w:rFonts w:eastAsia="Times New Roman"/>
          <w:i/>
          <w:iCs/>
          <w:sz w:val="24"/>
          <w:szCs w:val="24"/>
          <w:lang w:eastAsia="en-AU"/>
        </w:rPr>
        <w:t>ASIC Corporations (</w:t>
      </w:r>
      <w:r w:rsidR="003D3071" w:rsidRPr="000E1CBC">
        <w:rPr>
          <w:rFonts w:eastAsia="Times New Roman"/>
          <w:i/>
          <w:iCs/>
          <w:sz w:val="24"/>
          <w:szCs w:val="24"/>
          <w:lang w:eastAsia="en-AU"/>
        </w:rPr>
        <w:t>Amendment</w:t>
      </w:r>
      <w:r w:rsidR="008740F9" w:rsidRPr="000E1CBC">
        <w:rPr>
          <w:rFonts w:eastAsia="Times New Roman"/>
          <w:i/>
          <w:iCs/>
          <w:sz w:val="24"/>
          <w:szCs w:val="24"/>
          <w:lang w:eastAsia="en-AU"/>
        </w:rPr>
        <w:t xml:space="preserve">) Instrument </w:t>
      </w:r>
      <w:r w:rsidR="00740FFA" w:rsidRPr="000E1CBC">
        <w:rPr>
          <w:rFonts w:eastAsia="Times New Roman"/>
          <w:i/>
          <w:iCs/>
          <w:sz w:val="24"/>
          <w:szCs w:val="24"/>
          <w:lang w:eastAsia="en-AU"/>
        </w:rPr>
        <w:t>2020</w:t>
      </w:r>
      <w:r w:rsidR="008740F9" w:rsidRPr="000E1CBC">
        <w:rPr>
          <w:rFonts w:eastAsia="Times New Roman"/>
          <w:i/>
          <w:iCs/>
          <w:sz w:val="24"/>
          <w:szCs w:val="24"/>
          <w:lang w:eastAsia="en-AU"/>
        </w:rPr>
        <w:t>/5</w:t>
      </w:r>
      <w:r w:rsidR="003D3071" w:rsidRPr="000E1CBC">
        <w:rPr>
          <w:rFonts w:eastAsia="Times New Roman"/>
          <w:i/>
          <w:iCs/>
          <w:sz w:val="24"/>
          <w:szCs w:val="24"/>
          <w:lang w:eastAsia="en-AU"/>
        </w:rPr>
        <w:t>65</w:t>
      </w:r>
      <w:r w:rsidR="00091E73" w:rsidRPr="000E1CBC">
        <w:rPr>
          <w:rFonts w:eastAsia="Times New Roman"/>
          <w:sz w:val="24"/>
          <w:szCs w:val="24"/>
          <w:lang w:eastAsia="en-AU"/>
        </w:rPr>
        <w:t xml:space="preserve">, which </w:t>
      </w:r>
      <w:r w:rsidR="00740FFA" w:rsidRPr="000E1CBC">
        <w:rPr>
          <w:rFonts w:eastAsia="Times New Roman"/>
          <w:sz w:val="24"/>
          <w:szCs w:val="24"/>
          <w:lang w:eastAsia="en-AU"/>
        </w:rPr>
        <w:t xml:space="preserve">itself </w:t>
      </w:r>
      <w:r w:rsidR="00091E73" w:rsidRPr="000E1CBC">
        <w:rPr>
          <w:rFonts w:eastAsia="Times New Roman"/>
          <w:sz w:val="24"/>
          <w:szCs w:val="24"/>
          <w:lang w:eastAsia="en-AU"/>
        </w:rPr>
        <w:t xml:space="preserve">amends </w:t>
      </w:r>
      <w:r w:rsidR="00091E73" w:rsidRPr="000E1CBC">
        <w:rPr>
          <w:rFonts w:eastAsia="Times New Roman"/>
          <w:i/>
          <w:iCs/>
          <w:sz w:val="24"/>
          <w:szCs w:val="24"/>
          <w:lang w:eastAsia="en-AU"/>
        </w:rPr>
        <w:t>ASIC Corporations (Share and Interest Purchase Plan) Instrument 2019/547</w:t>
      </w:r>
      <w:r w:rsidR="008740F9" w:rsidRPr="000E1CBC">
        <w:rPr>
          <w:rFonts w:eastAsia="Times New Roman"/>
          <w:sz w:val="24"/>
          <w:szCs w:val="24"/>
          <w:lang w:eastAsia="en-AU"/>
        </w:rPr>
        <w:t>;</w:t>
      </w:r>
    </w:p>
    <w:p w14:paraId="6B67FA86" w14:textId="62FA0A3E" w:rsidR="008740F9" w:rsidRPr="000E1CBC" w:rsidRDefault="00507120" w:rsidP="00507120">
      <w:pPr>
        <w:spacing w:before="240" w:line="240" w:lineRule="auto"/>
        <w:ind w:left="1134" w:hanging="567"/>
        <w:rPr>
          <w:rFonts w:eastAsia="Times New Roman"/>
          <w:sz w:val="24"/>
          <w:szCs w:val="24"/>
          <w:lang w:eastAsia="en-AU"/>
        </w:rPr>
      </w:pPr>
      <w:r w:rsidRPr="000E1CBC">
        <w:rPr>
          <w:rFonts w:eastAsia="Times New Roman"/>
          <w:sz w:val="24"/>
          <w:szCs w:val="24"/>
          <w:lang w:eastAsia="en-AU"/>
        </w:rPr>
        <w:t>(b)</w:t>
      </w:r>
      <w:r w:rsidRPr="000E1CBC">
        <w:rPr>
          <w:rFonts w:eastAsia="Times New Roman"/>
          <w:sz w:val="24"/>
          <w:szCs w:val="24"/>
          <w:lang w:eastAsia="en-AU"/>
        </w:rPr>
        <w:tab/>
      </w:r>
      <w:r w:rsidR="008740F9" w:rsidRPr="000E1CBC">
        <w:rPr>
          <w:rFonts w:eastAsia="Times New Roman"/>
          <w:i/>
          <w:iCs/>
          <w:sz w:val="24"/>
          <w:szCs w:val="24"/>
          <w:lang w:eastAsia="en-AU"/>
        </w:rPr>
        <w:t>ASIC Corporations (Trading Suspension</w:t>
      </w:r>
      <w:r w:rsidR="00F21FCE" w:rsidRPr="000E1CBC">
        <w:rPr>
          <w:rFonts w:eastAsia="Times New Roman"/>
          <w:i/>
          <w:iCs/>
          <w:sz w:val="24"/>
          <w:szCs w:val="24"/>
          <w:lang w:eastAsia="en-AU"/>
        </w:rPr>
        <w:t>s</w:t>
      </w:r>
      <w:r w:rsidR="008740F9" w:rsidRPr="000E1CBC">
        <w:rPr>
          <w:rFonts w:eastAsia="Times New Roman"/>
          <w:i/>
          <w:iCs/>
          <w:sz w:val="24"/>
          <w:szCs w:val="24"/>
          <w:lang w:eastAsia="en-AU"/>
        </w:rPr>
        <w:t xml:space="preserve"> Relief) Instrument 2020/289</w:t>
      </w:r>
      <w:r w:rsidR="008740F9" w:rsidRPr="000E1CBC">
        <w:rPr>
          <w:rFonts w:eastAsia="Times New Roman"/>
          <w:sz w:val="24"/>
          <w:szCs w:val="24"/>
          <w:lang w:eastAsia="en-AU"/>
        </w:rPr>
        <w:t>; and</w:t>
      </w:r>
    </w:p>
    <w:p w14:paraId="0F02C82A" w14:textId="40D6F779" w:rsidR="008740F9" w:rsidRPr="000E1CBC" w:rsidRDefault="00507120" w:rsidP="00507120">
      <w:pPr>
        <w:spacing w:before="240" w:line="240" w:lineRule="auto"/>
        <w:ind w:left="1134" w:hanging="567"/>
        <w:rPr>
          <w:rFonts w:eastAsia="Times New Roman"/>
          <w:sz w:val="24"/>
          <w:szCs w:val="24"/>
          <w:lang w:eastAsia="en-AU"/>
        </w:rPr>
      </w:pPr>
      <w:r w:rsidRPr="000E1CBC">
        <w:rPr>
          <w:rFonts w:eastAsia="Times New Roman"/>
          <w:sz w:val="24"/>
          <w:szCs w:val="24"/>
          <w:lang w:eastAsia="en-AU"/>
        </w:rPr>
        <w:t>(c)</w:t>
      </w:r>
      <w:r w:rsidRPr="000E1CBC">
        <w:rPr>
          <w:rFonts w:eastAsia="Times New Roman"/>
          <w:sz w:val="24"/>
          <w:szCs w:val="24"/>
          <w:lang w:eastAsia="en-AU"/>
        </w:rPr>
        <w:tab/>
      </w:r>
      <w:r w:rsidR="008740F9" w:rsidRPr="000E1CBC">
        <w:rPr>
          <w:rFonts w:eastAsia="Times New Roman"/>
          <w:i/>
          <w:iCs/>
          <w:sz w:val="24"/>
          <w:szCs w:val="24"/>
          <w:lang w:eastAsia="en-AU"/>
        </w:rPr>
        <w:t>ASIC Corporations (COVID-19 – Advice-related Relief) Instrument 2020/35</w:t>
      </w:r>
      <w:r w:rsidR="008740F9" w:rsidRPr="000E1CBC">
        <w:rPr>
          <w:rFonts w:eastAsia="Times New Roman"/>
          <w:sz w:val="24"/>
          <w:szCs w:val="24"/>
          <w:lang w:eastAsia="en-AU"/>
        </w:rPr>
        <w:t>5</w:t>
      </w:r>
      <w:r w:rsidR="000E1CBC">
        <w:rPr>
          <w:rFonts w:eastAsia="Times New Roman"/>
          <w:sz w:val="24"/>
          <w:szCs w:val="24"/>
          <w:lang w:eastAsia="en-AU"/>
        </w:rPr>
        <w:t>.</w:t>
      </w:r>
      <w:r w:rsidR="008740F9" w:rsidRPr="000E1CBC">
        <w:rPr>
          <w:rFonts w:eastAsia="Times New Roman"/>
          <w:sz w:val="24"/>
          <w:szCs w:val="24"/>
          <w:lang w:eastAsia="en-AU"/>
        </w:rPr>
        <w:t xml:space="preserve"> </w:t>
      </w:r>
    </w:p>
    <w:p w14:paraId="78C5B2DE" w14:textId="26126D88" w:rsidR="00CB2D96" w:rsidRPr="000E1CBC" w:rsidRDefault="00740FFA" w:rsidP="00740FFA">
      <w:pPr>
        <w:spacing w:before="240" w:line="240" w:lineRule="auto"/>
        <w:ind w:left="567" w:hanging="567"/>
        <w:rPr>
          <w:rFonts w:eastAsia="Times New Roman"/>
          <w:sz w:val="24"/>
          <w:szCs w:val="24"/>
          <w:lang w:eastAsia="en-AU"/>
        </w:rPr>
      </w:pPr>
      <w:r w:rsidRPr="000E1CBC">
        <w:rPr>
          <w:rFonts w:eastAsia="Times New Roman"/>
          <w:sz w:val="24"/>
          <w:szCs w:val="24"/>
          <w:lang w:eastAsia="en-AU"/>
        </w:rPr>
        <w:t>2.</w:t>
      </w:r>
      <w:r w:rsidRPr="000E1CBC">
        <w:rPr>
          <w:rFonts w:eastAsia="Times New Roman"/>
          <w:sz w:val="24"/>
          <w:szCs w:val="24"/>
          <w:lang w:eastAsia="en-AU"/>
        </w:rPr>
        <w:tab/>
        <w:t xml:space="preserve">The effect of these amendments is </w:t>
      </w:r>
      <w:r w:rsidR="008740F9" w:rsidRPr="000E1CBC">
        <w:rPr>
          <w:rFonts w:eastAsia="Times New Roman"/>
          <w:sz w:val="24"/>
          <w:szCs w:val="24"/>
          <w:lang w:eastAsia="en-AU"/>
        </w:rPr>
        <w:t xml:space="preserve">that the temporary </w:t>
      </w:r>
      <w:r w:rsidR="00A13641" w:rsidRPr="000E1CBC">
        <w:rPr>
          <w:rFonts w:eastAsia="Times New Roman"/>
          <w:sz w:val="24"/>
          <w:szCs w:val="24"/>
          <w:lang w:eastAsia="en-AU"/>
        </w:rPr>
        <w:t xml:space="preserve">deregulatory </w:t>
      </w:r>
      <w:r w:rsidR="008740F9" w:rsidRPr="000E1CBC">
        <w:rPr>
          <w:rFonts w:eastAsia="Times New Roman"/>
          <w:sz w:val="24"/>
          <w:szCs w:val="24"/>
          <w:lang w:eastAsia="en-AU"/>
        </w:rPr>
        <w:t xml:space="preserve">measures implemented by those legislative instruments will cease to operate </w:t>
      </w:r>
      <w:r w:rsidR="003D3071" w:rsidRPr="000E1CBC">
        <w:rPr>
          <w:rFonts w:eastAsia="Times New Roman"/>
          <w:sz w:val="24"/>
          <w:szCs w:val="24"/>
          <w:lang w:eastAsia="en-AU"/>
        </w:rPr>
        <w:t>on 1 January 2021, 1 January 2021 and 15 April 2021 respectively</w:t>
      </w:r>
      <w:r w:rsidR="008740F9" w:rsidRPr="000E1CBC">
        <w:rPr>
          <w:rFonts w:eastAsia="Times New Roman"/>
          <w:sz w:val="24"/>
          <w:szCs w:val="24"/>
          <w:lang w:eastAsia="en-AU"/>
        </w:rPr>
        <w:t>.</w:t>
      </w:r>
    </w:p>
    <w:p w14:paraId="536BF704" w14:textId="77777777" w:rsidR="001872DC" w:rsidRPr="000E1CBC" w:rsidRDefault="001872DC" w:rsidP="001872DC">
      <w:pPr>
        <w:pStyle w:val="LI-BodyTextNumbered"/>
        <w:ind w:left="567"/>
        <w:rPr>
          <w:u w:val="single"/>
        </w:rPr>
      </w:pPr>
      <w:bookmarkStart w:id="6" w:name="_Hlk534286807"/>
      <w:bookmarkEnd w:id="4"/>
      <w:r w:rsidRPr="000E1CBC">
        <w:rPr>
          <w:u w:val="single"/>
        </w:rPr>
        <w:t>Assessment of human rights implications</w:t>
      </w:r>
    </w:p>
    <w:p w14:paraId="6FF044C5" w14:textId="3E1EF239" w:rsidR="00946759" w:rsidRPr="000E1CBC" w:rsidRDefault="00740FFA" w:rsidP="00D306F8">
      <w:pPr>
        <w:pStyle w:val="LI-BodyTextNumbered"/>
        <w:ind w:left="567"/>
      </w:pPr>
      <w:r w:rsidRPr="000E1CBC">
        <w:t>3</w:t>
      </w:r>
      <w:r w:rsidR="001872DC" w:rsidRPr="000E1CBC">
        <w:t>.</w:t>
      </w:r>
      <w:r w:rsidR="001872DC" w:rsidRPr="000E1CBC">
        <w:tab/>
      </w:r>
      <w:bookmarkEnd w:id="6"/>
      <w:r w:rsidR="001872DC" w:rsidRPr="000E1CBC">
        <w:t xml:space="preserve">This instrument </w:t>
      </w:r>
      <w:r w:rsidR="00D306F8" w:rsidRPr="000E1CBC">
        <w:t>does not engage any of the applicable rights or freedoms</w:t>
      </w:r>
      <w:r w:rsidR="004E2791" w:rsidRPr="000E1CBC">
        <w:t>.</w:t>
      </w:r>
    </w:p>
    <w:p w14:paraId="6F8B1E1E" w14:textId="77777777" w:rsidR="00CB2D96" w:rsidRPr="000E1CBC" w:rsidRDefault="00CB2D96" w:rsidP="00D306F8">
      <w:pPr>
        <w:pStyle w:val="LI-BodyTextNumbered"/>
        <w:ind w:left="567"/>
        <w:rPr>
          <w:u w:val="single"/>
        </w:rPr>
      </w:pPr>
      <w:r w:rsidRPr="000E1CBC">
        <w:rPr>
          <w:u w:val="single"/>
        </w:rPr>
        <w:t>Conclusion</w:t>
      </w:r>
    </w:p>
    <w:p w14:paraId="470F5C1C" w14:textId="487667E8" w:rsidR="00CB2D96" w:rsidRPr="000E1CBC" w:rsidRDefault="00740FFA" w:rsidP="00CB2D96">
      <w:pPr>
        <w:pStyle w:val="LI-BodyTextNumbered"/>
        <w:ind w:left="567"/>
      </w:pPr>
      <w:r w:rsidRPr="000E1CBC">
        <w:t>4</w:t>
      </w:r>
      <w:r w:rsidR="00CB2D96" w:rsidRPr="000E1CBC">
        <w:t>.</w:t>
      </w:r>
      <w:r w:rsidR="00CB2D96" w:rsidRPr="000E1CBC">
        <w:tab/>
        <w:t xml:space="preserve">This instrument is compatible with the human rights and freedoms recognised or declared in the international instruments listed in section 3 of </w:t>
      </w:r>
      <w:r w:rsidR="00CB2D96" w:rsidRPr="000E1CBC">
        <w:rPr>
          <w:iCs/>
        </w:rPr>
        <w:t xml:space="preserve">the </w:t>
      </w:r>
      <w:r w:rsidR="00CB2D96" w:rsidRPr="000E1CBC">
        <w:rPr>
          <w:i/>
          <w:iCs/>
        </w:rPr>
        <w:t>Human Rights (Parliamentary Scrutiny) Act 2011</w:t>
      </w:r>
      <w:r w:rsidR="00CB2D96" w:rsidRPr="000E1CBC">
        <w:t>.</w:t>
      </w:r>
    </w:p>
    <w:p w14:paraId="334D77B6" w14:textId="77777777" w:rsidR="00CB2D96" w:rsidRPr="000E1CBC" w:rsidRDefault="00CB2D96" w:rsidP="00D306F8">
      <w:pPr>
        <w:pStyle w:val="LI-BodyTextNumbered"/>
        <w:ind w:left="567"/>
      </w:pPr>
    </w:p>
    <w:sectPr w:rsidR="00CB2D96" w:rsidRPr="000E1CBC" w:rsidSect="00863657">
      <w:headerReference w:type="even" r:id="rId20"/>
      <w:headerReference w:type="default" r:id="rId21"/>
      <w:footerReference w:type="default" r:id="rId22"/>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AA573" w14:textId="77777777" w:rsidR="00DA442D" w:rsidRDefault="00DA442D" w:rsidP="00715914">
      <w:pPr>
        <w:spacing w:line="240" w:lineRule="auto"/>
      </w:pPr>
      <w:r>
        <w:separator/>
      </w:r>
    </w:p>
  </w:endnote>
  <w:endnote w:type="continuationSeparator" w:id="0">
    <w:p w14:paraId="5E14EB42" w14:textId="77777777" w:rsidR="00DA442D" w:rsidRDefault="00DA442D" w:rsidP="00715914">
      <w:pPr>
        <w:spacing w:line="240" w:lineRule="auto"/>
      </w:pPr>
      <w:r>
        <w:continuationSeparator/>
      </w:r>
    </w:p>
  </w:endnote>
  <w:endnote w:type="continuationNotice" w:id="1">
    <w:p w14:paraId="7A312F86" w14:textId="77777777" w:rsidR="00DA442D" w:rsidRDefault="00DA44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346E2" w14:textId="77777777" w:rsidR="00DA442D" w:rsidRDefault="00DA442D">
    <w:pPr>
      <w:pStyle w:val="Footer"/>
      <w:jc w:val="center"/>
    </w:pPr>
    <w:r>
      <w:fldChar w:fldCharType="begin"/>
    </w:r>
    <w:r>
      <w:instrText xml:space="preserve"> PAGE   \* MERGEFORMAT </w:instrText>
    </w:r>
    <w:r>
      <w:fldChar w:fldCharType="separate"/>
    </w:r>
    <w:r>
      <w:rPr>
        <w:noProof/>
      </w:rPr>
      <w:t>2</w:t>
    </w:r>
    <w:r>
      <w:rPr>
        <w:noProof/>
      </w:rPr>
      <w:fldChar w:fldCharType="end"/>
    </w:r>
  </w:p>
  <w:p w14:paraId="75731767" w14:textId="77777777" w:rsidR="00DA442D" w:rsidRDefault="00DA4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5CB47" w14:textId="77777777" w:rsidR="00DA442D" w:rsidRDefault="00DA442D" w:rsidP="00715914">
      <w:pPr>
        <w:spacing w:line="240" w:lineRule="auto"/>
      </w:pPr>
      <w:r>
        <w:separator/>
      </w:r>
    </w:p>
  </w:footnote>
  <w:footnote w:type="continuationSeparator" w:id="0">
    <w:p w14:paraId="07C709E3" w14:textId="77777777" w:rsidR="00DA442D" w:rsidRDefault="00DA442D" w:rsidP="00715914">
      <w:pPr>
        <w:spacing w:line="240" w:lineRule="auto"/>
      </w:pPr>
      <w:r>
        <w:continuationSeparator/>
      </w:r>
    </w:p>
  </w:footnote>
  <w:footnote w:type="continuationNotice" w:id="1">
    <w:p w14:paraId="2D6F8489" w14:textId="77777777" w:rsidR="00DA442D" w:rsidRDefault="00DA442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C8D9" w14:textId="77777777" w:rsidR="00DA442D" w:rsidRPr="00243EC0" w:rsidRDefault="00DA442D"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DA442D" w:rsidRPr="00E40FF8" w14:paraId="7543726A" w14:textId="77777777" w:rsidTr="001E77ED">
      <w:tc>
        <w:tcPr>
          <w:tcW w:w="4253" w:type="dxa"/>
          <w:shd w:val="clear" w:color="auto" w:fill="auto"/>
        </w:tcPr>
        <w:p w14:paraId="42334CE2" w14:textId="77777777" w:rsidR="00DA442D" w:rsidRDefault="00DA442D" w:rsidP="00E40FF8">
          <w:pPr>
            <w:pStyle w:val="LI-Header"/>
            <w:pBdr>
              <w:bottom w:val="none" w:sz="0" w:space="0" w:color="auto"/>
            </w:pBdr>
            <w:jc w:val="left"/>
          </w:pPr>
        </w:p>
      </w:tc>
      <w:tc>
        <w:tcPr>
          <w:tcW w:w="4060" w:type="dxa"/>
          <w:shd w:val="clear" w:color="auto" w:fill="auto"/>
        </w:tcPr>
        <w:p w14:paraId="4519439B" w14:textId="77777777" w:rsidR="00DA442D" w:rsidRDefault="00DA442D" w:rsidP="00F03BB5">
          <w:pPr>
            <w:pStyle w:val="LI-BodyTextNumbered"/>
          </w:pPr>
        </w:p>
      </w:tc>
    </w:tr>
  </w:tbl>
  <w:p w14:paraId="378935EF" w14:textId="77777777" w:rsidR="00DA442D" w:rsidRPr="00F4215A" w:rsidRDefault="00DA442D"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553EE2"/>
    <w:multiLevelType w:val="hybridMultilevel"/>
    <w:tmpl w:val="5F8A9FF8"/>
    <w:lvl w:ilvl="0" w:tplc="0C090019">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37550551"/>
    <w:multiLevelType w:val="hybridMultilevel"/>
    <w:tmpl w:val="456E2486"/>
    <w:lvl w:ilvl="0" w:tplc="0C090001">
      <w:start w:val="1"/>
      <w:numFmt w:val="bullet"/>
      <w:lvlText w:val=""/>
      <w:lvlJc w:val="left"/>
      <w:pPr>
        <w:ind w:left="570" w:hanging="57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2E348A1"/>
    <w:multiLevelType w:val="hybridMultilevel"/>
    <w:tmpl w:val="0DC47C1C"/>
    <w:lvl w:ilvl="0" w:tplc="AAACF3EA">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91702C"/>
    <w:multiLevelType w:val="hybridMultilevel"/>
    <w:tmpl w:val="82268852"/>
    <w:lvl w:ilvl="0" w:tplc="4CCEF042">
      <w:start w:val="1"/>
      <w:numFmt w:val="decimal"/>
      <w:lvlText w:val="%1."/>
      <w:lvlJc w:val="left"/>
      <w:pPr>
        <w:ind w:left="570" w:hanging="57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1"/>
  </w:num>
  <w:num w:numId="14">
    <w:abstractNumId w:val="16"/>
  </w:num>
  <w:num w:numId="15">
    <w:abstractNumId w:val="13"/>
  </w:num>
  <w:num w:numId="16">
    <w:abstractNumId w:val="17"/>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hideSpellingErrors/>
  <w:hideGrammaticalError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10A89"/>
    <w:rsid w:val="000136AF"/>
    <w:rsid w:val="00013B8D"/>
    <w:rsid w:val="00015719"/>
    <w:rsid w:val="0002228B"/>
    <w:rsid w:val="00023D53"/>
    <w:rsid w:val="000254D4"/>
    <w:rsid w:val="000437C1"/>
    <w:rsid w:val="0005365D"/>
    <w:rsid w:val="000614BF"/>
    <w:rsid w:val="0006250C"/>
    <w:rsid w:val="00072305"/>
    <w:rsid w:val="00081794"/>
    <w:rsid w:val="00084FF4"/>
    <w:rsid w:val="00087151"/>
    <w:rsid w:val="00091E73"/>
    <w:rsid w:val="00091F39"/>
    <w:rsid w:val="000928AF"/>
    <w:rsid w:val="000A0C97"/>
    <w:rsid w:val="000A142F"/>
    <w:rsid w:val="000A6C39"/>
    <w:rsid w:val="000B58FA"/>
    <w:rsid w:val="000B60D3"/>
    <w:rsid w:val="000C55A0"/>
    <w:rsid w:val="000D041F"/>
    <w:rsid w:val="000D05EF"/>
    <w:rsid w:val="000D5ABD"/>
    <w:rsid w:val="000E037F"/>
    <w:rsid w:val="000E1CBC"/>
    <w:rsid w:val="000E2261"/>
    <w:rsid w:val="000E3C2E"/>
    <w:rsid w:val="000F21C1"/>
    <w:rsid w:val="00102CA6"/>
    <w:rsid w:val="00105408"/>
    <w:rsid w:val="0010745C"/>
    <w:rsid w:val="001175D6"/>
    <w:rsid w:val="00125141"/>
    <w:rsid w:val="00130E53"/>
    <w:rsid w:val="00132CEB"/>
    <w:rsid w:val="00135DF2"/>
    <w:rsid w:val="00142B62"/>
    <w:rsid w:val="00153B32"/>
    <w:rsid w:val="00157B8B"/>
    <w:rsid w:val="001624E1"/>
    <w:rsid w:val="00166C2F"/>
    <w:rsid w:val="00166D1E"/>
    <w:rsid w:val="001706DA"/>
    <w:rsid w:val="00171A6E"/>
    <w:rsid w:val="00176854"/>
    <w:rsid w:val="001809D7"/>
    <w:rsid w:val="0018659E"/>
    <w:rsid w:val="001872DC"/>
    <w:rsid w:val="001939E1"/>
    <w:rsid w:val="00194C3E"/>
    <w:rsid w:val="00195382"/>
    <w:rsid w:val="00195BD4"/>
    <w:rsid w:val="001A4160"/>
    <w:rsid w:val="001A421B"/>
    <w:rsid w:val="001A7A22"/>
    <w:rsid w:val="001C61C5"/>
    <w:rsid w:val="001C69C4"/>
    <w:rsid w:val="001D37EF"/>
    <w:rsid w:val="001E3590"/>
    <w:rsid w:val="001E7407"/>
    <w:rsid w:val="001E77ED"/>
    <w:rsid w:val="001E7E2B"/>
    <w:rsid w:val="001F02B1"/>
    <w:rsid w:val="001F5D5E"/>
    <w:rsid w:val="001F602F"/>
    <w:rsid w:val="001F6219"/>
    <w:rsid w:val="001F6CD4"/>
    <w:rsid w:val="00200B4D"/>
    <w:rsid w:val="002055D1"/>
    <w:rsid w:val="00206C4D"/>
    <w:rsid w:val="0021053C"/>
    <w:rsid w:val="00215AF1"/>
    <w:rsid w:val="00220A36"/>
    <w:rsid w:val="00223DCF"/>
    <w:rsid w:val="002321E8"/>
    <w:rsid w:val="0023532E"/>
    <w:rsid w:val="00236EEC"/>
    <w:rsid w:val="0024010F"/>
    <w:rsid w:val="00240749"/>
    <w:rsid w:val="00243018"/>
    <w:rsid w:val="00243EC0"/>
    <w:rsid w:val="00244742"/>
    <w:rsid w:val="002564A4"/>
    <w:rsid w:val="00263772"/>
    <w:rsid w:val="0026736C"/>
    <w:rsid w:val="00281308"/>
    <w:rsid w:val="00281813"/>
    <w:rsid w:val="00284719"/>
    <w:rsid w:val="00295F29"/>
    <w:rsid w:val="00297ECB"/>
    <w:rsid w:val="002A693B"/>
    <w:rsid w:val="002A7328"/>
    <w:rsid w:val="002A7BCF"/>
    <w:rsid w:val="002B19F3"/>
    <w:rsid w:val="002B216B"/>
    <w:rsid w:val="002B4A0D"/>
    <w:rsid w:val="002C6ADF"/>
    <w:rsid w:val="002C7B6F"/>
    <w:rsid w:val="002D043A"/>
    <w:rsid w:val="002D6224"/>
    <w:rsid w:val="002E0421"/>
    <w:rsid w:val="002E3F4B"/>
    <w:rsid w:val="002E5A5A"/>
    <w:rsid w:val="002F607C"/>
    <w:rsid w:val="00303099"/>
    <w:rsid w:val="00304F8B"/>
    <w:rsid w:val="00307F8E"/>
    <w:rsid w:val="00313B70"/>
    <w:rsid w:val="00320AAC"/>
    <w:rsid w:val="00320DC8"/>
    <w:rsid w:val="003273AF"/>
    <w:rsid w:val="00327B7D"/>
    <w:rsid w:val="00327DDF"/>
    <w:rsid w:val="003354D2"/>
    <w:rsid w:val="00335BC6"/>
    <w:rsid w:val="003415D3"/>
    <w:rsid w:val="00344701"/>
    <w:rsid w:val="003528DA"/>
    <w:rsid w:val="00352B0F"/>
    <w:rsid w:val="0035454F"/>
    <w:rsid w:val="00356690"/>
    <w:rsid w:val="00357DD0"/>
    <w:rsid w:val="00360459"/>
    <w:rsid w:val="00365497"/>
    <w:rsid w:val="00370435"/>
    <w:rsid w:val="00385A54"/>
    <w:rsid w:val="00387A96"/>
    <w:rsid w:val="00393F63"/>
    <w:rsid w:val="003958B6"/>
    <w:rsid w:val="003A2A48"/>
    <w:rsid w:val="003A3724"/>
    <w:rsid w:val="003B28C3"/>
    <w:rsid w:val="003B5544"/>
    <w:rsid w:val="003B732F"/>
    <w:rsid w:val="003C05A0"/>
    <w:rsid w:val="003C3334"/>
    <w:rsid w:val="003C3910"/>
    <w:rsid w:val="003C6231"/>
    <w:rsid w:val="003D0BFE"/>
    <w:rsid w:val="003D3071"/>
    <w:rsid w:val="003D5700"/>
    <w:rsid w:val="003D68E7"/>
    <w:rsid w:val="003E0F99"/>
    <w:rsid w:val="003E341B"/>
    <w:rsid w:val="003F3EFD"/>
    <w:rsid w:val="003F46A1"/>
    <w:rsid w:val="003F6004"/>
    <w:rsid w:val="0040053F"/>
    <w:rsid w:val="004051BD"/>
    <w:rsid w:val="004116CD"/>
    <w:rsid w:val="004144EC"/>
    <w:rsid w:val="00417EB9"/>
    <w:rsid w:val="00420A38"/>
    <w:rsid w:val="00423F4C"/>
    <w:rsid w:val="00424CA9"/>
    <w:rsid w:val="00431E9B"/>
    <w:rsid w:val="004329D2"/>
    <w:rsid w:val="00435EEF"/>
    <w:rsid w:val="004379E3"/>
    <w:rsid w:val="0044015E"/>
    <w:rsid w:val="0044291A"/>
    <w:rsid w:val="00444ABD"/>
    <w:rsid w:val="00447DB4"/>
    <w:rsid w:val="00460F1D"/>
    <w:rsid w:val="00465DC1"/>
    <w:rsid w:val="00467661"/>
    <w:rsid w:val="004705B7"/>
    <w:rsid w:val="00472DBE"/>
    <w:rsid w:val="00474A19"/>
    <w:rsid w:val="00474B52"/>
    <w:rsid w:val="00481C24"/>
    <w:rsid w:val="004823C0"/>
    <w:rsid w:val="0048276B"/>
    <w:rsid w:val="00495CD1"/>
    <w:rsid w:val="00496B5F"/>
    <w:rsid w:val="00496F97"/>
    <w:rsid w:val="004A44FC"/>
    <w:rsid w:val="004B5B44"/>
    <w:rsid w:val="004C1CB1"/>
    <w:rsid w:val="004D7E7F"/>
    <w:rsid w:val="004E063A"/>
    <w:rsid w:val="004E2791"/>
    <w:rsid w:val="004E7BEC"/>
    <w:rsid w:val="0050044F"/>
    <w:rsid w:val="00505D3D"/>
    <w:rsid w:val="00506AF6"/>
    <w:rsid w:val="00507120"/>
    <w:rsid w:val="00507335"/>
    <w:rsid w:val="00516B8D"/>
    <w:rsid w:val="00517E56"/>
    <w:rsid w:val="005237ED"/>
    <w:rsid w:val="0052397C"/>
    <w:rsid w:val="00524975"/>
    <w:rsid w:val="00530D12"/>
    <w:rsid w:val="0053187E"/>
    <w:rsid w:val="00532049"/>
    <w:rsid w:val="00534FF8"/>
    <w:rsid w:val="005356A7"/>
    <w:rsid w:val="00536184"/>
    <w:rsid w:val="00537FBC"/>
    <w:rsid w:val="00542808"/>
    <w:rsid w:val="0054478E"/>
    <w:rsid w:val="00550058"/>
    <w:rsid w:val="005532A1"/>
    <w:rsid w:val="00555861"/>
    <w:rsid w:val="005574D1"/>
    <w:rsid w:val="00561ABB"/>
    <w:rsid w:val="005657FE"/>
    <w:rsid w:val="005722F2"/>
    <w:rsid w:val="00572BB1"/>
    <w:rsid w:val="0057670F"/>
    <w:rsid w:val="00584811"/>
    <w:rsid w:val="00585784"/>
    <w:rsid w:val="00593AA6"/>
    <w:rsid w:val="00594161"/>
    <w:rsid w:val="00594749"/>
    <w:rsid w:val="005966C4"/>
    <w:rsid w:val="005B4067"/>
    <w:rsid w:val="005B780C"/>
    <w:rsid w:val="005C3F41"/>
    <w:rsid w:val="005C75C3"/>
    <w:rsid w:val="005D0489"/>
    <w:rsid w:val="005D1FEA"/>
    <w:rsid w:val="005D2D09"/>
    <w:rsid w:val="005D3D41"/>
    <w:rsid w:val="005D43EB"/>
    <w:rsid w:val="005D6DFD"/>
    <w:rsid w:val="005E2A46"/>
    <w:rsid w:val="005E4520"/>
    <w:rsid w:val="005E4810"/>
    <w:rsid w:val="005F4140"/>
    <w:rsid w:val="005F65CD"/>
    <w:rsid w:val="005F6E4C"/>
    <w:rsid w:val="00600219"/>
    <w:rsid w:val="00603DC4"/>
    <w:rsid w:val="00606026"/>
    <w:rsid w:val="00607A71"/>
    <w:rsid w:val="00610709"/>
    <w:rsid w:val="006117CB"/>
    <w:rsid w:val="006126DE"/>
    <w:rsid w:val="00616F5C"/>
    <w:rsid w:val="00620076"/>
    <w:rsid w:val="006258AC"/>
    <w:rsid w:val="00634044"/>
    <w:rsid w:val="00640161"/>
    <w:rsid w:val="0064067D"/>
    <w:rsid w:val="00640CA7"/>
    <w:rsid w:val="00652769"/>
    <w:rsid w:val="0065542F"/>
    <w:rsid w:val="006554FF"/>
    <w:rsid w:val="00664C17"/>
    <w:rsid w:val="006700BD"/>
    <w:rsid w:val="00670EA1"/>
    <w:rsid w:val="0067246F"/>
    <w:rsid w:val="00676AC3"/>
    <w:rsid w:val="00676EE1"/>
    <w:rsid w:val="00677CC2"/>
    <w:rsid w:val="006905DE"/>
    <w:rsid w:val="0069207B"/>
    <w:rsid w:val="00693F29"/>
    <w:rsid w:val="006A021A"/>
    <w:rsid w:val="006B5789"/>
    <w:rsid w:val="006C20B4"/>
    <w:rsid w:val="006C30C5"/>
    <w:rsid w:val="006C48FA"/>
    <w:rsid w:val="006C7F8C"/>
    <w:rsid w:val="006D25B5"/>
    <w:rsid w:val="006D6E7D"/>
    <w:rsid w:val="006E349F"/>
    <w:rsid w:val="006E5320"/>
    <w:rsid w:val="006E5FB2"/>
    <w:rsid w:val="006E6246"/>
    <w:rsid w:val="006E7723"/>
    <w:rsid w:val="006F256E"/>
    <w:rsid w:val="006F318F"/>
    <w:rsid w:val="006F4226"/>
    <w:rsid w:val="0070017E"/>
    <w:rsid w:val="00700B2C"/>
    <w:rsid w:val="00702EFD"/>
    <w:rsid w:val="007050A2"/>
    <w:rsid w:val="00713084"/>
    <w:rsid w:val="0071399B"/>
    <w:rsid w:val="00714F20"/>
    <w:rsid w:val="0071590F"/>
    <w:rsid w:val="00715914"/>
    <w:rsid w:val="00731E00"/>
    <w:rsid w:val="00740FFA"/>
    <w:rsid w:val="00741EE8"/>
    <w:rsid w:val="007440B7"/>
    <w:rsid w:val="007500C8"/>
    <w:rsid w:val="00754A47"/>
    <w:rsid w:val="00754ED9"/>
    <w:rsid w:val="00756272"/>
    <w:rsid w:val="0076493E"/>
    <w:rsid w:val="007662B5"/>
    <w:rsid w:val="0076681A"/>
    <w:rsid w:val="007715C9"/>
    <w:rsid w:val="00771613"/>
    <w:rsid w:val="00774EDD"/>
    <w:rsid w:val="0077506D"/>
    <w:rsid w:val="007757EC"/>
    <w:rsid w:val="00783E89"/>
    <w:rsid w:val="007842CE"/>
    <w:rsid w:val="00785A9E"/>
    <w:rsid w:val="00790581"/>
    <w:rsid w:val="00793915"/>
    <w:rsid w:val="007A78E7"/>
    <w:rsid w:val="007B4C4F"/>
    <w:rsid w:val="007C2253"/>
    <w:rsid w:val="007C3ACB"/>
    <w:rsid w:val="007D230B"/>
    <w:rsid w:val="007D37B2"/>
    <w:rsid w:val="007E0EBE"/>
    <w:rsid w:val="007E163D"/>
    <w:rsid w:val="007E667A"/>
    <w:rsid w:val="007F28C9"/>
    <w:rsid w:val="007F4605"/>
    <w:rsid w:val="0080312D"/>
    <w:rsid w:val="00803587"/>
    <w:rsid w:val="008117E9"/>
    <w:rsid w:val="00823888"/>
    <w:rsid w:val="00824498"/>
    <w:rsid w:val="00835179"/>
    <w:rsid w:val="00840442"/>
    <w:rsid w:val="008527C0"/>
    <w:rsid w:val="008555D2"/>
    <w:rsid w:val="00856A31"/>
    <w:rsid w:val="00860B58"/>
    <w:rsid w:val="00863657"/>
    <w:rsid w:val="00866BC6"/>
    <w:rsid w:val="00867B37"/>
    <w:rsid w:val="008718DD"/>
    <w:rsid w:val="008740F9"/>
    <w:rsid w:val="008744C6"/>
    <w:rsid w:val="008754D0"/>
    <w:rsid w:val="00883ED7"/>
    <w:rsid w:val="00884F26"/>
    <w:rsid w:val="008855C9"/>
    <w:rsid w:val="00886456"/>
    <w:rsid w:val="008876F0"/>
    <w:rsid w:val="008945E0"/>
    <w:rsid w:val="0089527F"/>
    <w:rsid w:val="008A05A3"/>
    <w:rsid w:val="008A362B"/>
    <w:rsid w:val="008A46E1"/>
    <w:rsid w:val="008A4F43"/>
    <w:rsid w:val="008B0299"/>
    <w:rsid w:val="008B1C7C"/>
    <w:rsid w:val="008B2706"/>
    <w:rsid w:val="008B6B0C"/>
    <w:rsid w:val="008C0F29"/>
    <w:rsid w:val="008C1F86"/>
    <w:rsid w:val="008D0EE0"/>
    <w:rsid w:val="008D3422"/>
    <w:rsid w:val="008E6067"/>
    <w:rsid w:val="008F2B39"/>
    <w:rsid w:val="008F54E7"/>
    <w:rsid w:val="009016BE"/>
    <w:rsid w:val="00903422"/>
    <w:rsid w:val="00910D54"/>
    <w:rsid w:val="00912A58"/>
    <w:rsid w:val="009157B9"/>
    <w:rsid w:val="00915DF9"/>
    <w:rsid w:val="009254C3"/>
    <w:rsid w:val="00926940"/>
    <w:rsid w:val="00930A0A"/>
    <w:rsid w:val="00932377"/>
    <w:rsid w:val="009460DC"/>
    <w:rsid w:val="00946759"/>
    <w:rsid w:val="00947D5A"/>
    <w:rsid w:val="0095004B"/>
    <w:rsid w:val="009532A5"/>
    <w:rsid w:val="00955175"/>
    <w:rsid w:val="00955186"/>
    <w:rsid w:val="0095528E"/>
    <w:rsid w:val="0096753E"/>
    <w:rsid w:val="00982242"/>
    <w:rsid w:val="00982F25"/>
    <w:rsid w:val="009868E9"/>
    <w:rsid w:val="00990FDD"/>
    <w:rsid w:val="009944E6"/>
    <w:rsid w:val="00994FF3"/>
    <w:rsid w:val="009A3570"/>
    <w:rsid w:val="009A3A6F"/>
    <w:rsid w:val="009A3F74"/>
    <w:rsid w:val="009A49C9"/>
    <w:rsid w:val="009C2B57"/>
    <w:rsid w:val="009D1818"/>
    <w:rsid w:val="009D195A"/>
    <w:rsid w:val="009D5C5E"/>
    <w:rsid w:val="009D7993"/>
    <w:rsid w:val="009D79C5"/>
    <w:rsid w:val="009E5CFC"/>
    <w:rsid w:val="009E75A7"/>
    <w:rsid w:val="00A03AF1"/>
    <w:rsid w:val="00A079CB"/>
    <w:rsid w:val="00A12128"/>
    <w:rsid w:val="00A12F48"/>
    <w:rsid w:val="00A13641"/>
    <w:rsid w:val="00A14F6A"/>
    <w:rsid w:val="00A15512"/>
    <w:rsid w:val="00A22C98"/>
    <w:rsid w:val="00A231E2"/>
    <w:rsid w:val="00A33D55"/>
    <w:rsid w:val="00A34412"/>
    <w:rsid w:val="00A40424"/>
    <w:rsid w:val="00A44C99"/>
    <w:rsid w:val="00A52B0F"/>
    <w:rsid w:val="00A5632E"/>
    <w:rsid w:val="00A632C2"/>
    <w:rsid w:val="00A64912"/>
    <w:rsid w:val="00A7028D"/>
    <w:rsid w:val="00A70A74"/>
    <w:rsid w:val="00A91966"/>
    <w:rsid w:val="00AA66AC"/>
    <w:rsid w:val="00AB1DE8"/>
    <w:rsid w:val="00AB69D9"/>
    <w:rsid w:val="00AC0886"/>
    <w:rsid w:val="00AD02B8"/>
    <w:rsid w:val="00AD1F73"/>
    <w:rsid w:val="00AD5315"/>
    <w:rsid w:val="00AD5641"/>
    <w:rsid w:val="00AD7889"/>
    <w:rsid w:val="00AE1DA4"/>
    <w:rsid w:val="00AE787B"/>
    <w:rsid w:val="00AF021B"/>
    <w:rsid w:val="00AF06CF"/>
    <w:rsid w:val="00B04305"/>
    <w:rsid w:val="00B043C9"/>
    <w:rsid w:val="00B07CDB"/>
    <w:rsid w:val="00B16A31"/>
    <w:rsid w:val="00B17A9A"/>
    <w:rsid w:val="00B17DFD"/>
    <w:rsid w:val="00B2799D"/>
    <w:rsid w:val="00B308FE"/>
    <w:rsid w:val="00B33709"/>
    <w:rsid w:val="00B33B3C"/>
    <w:rsid w:val="00B33BD1"/>
    <w:rsid w:val="00B3717A"/>
    <w:rsid w:val="00B41646"/>
    <w:rsid w:val="00B45673"/>
    <w:rsid w:val="00B50ADC"/>
    <w:rsid w:val="00B50EDA"/>
    <w:rsid w:val="00B54576"/>
    <w:rsid w:val="00B566B1"/>
    <w:rsid w:val="00B577C8"/>
    <w:rsid w:val="00B63834"/>
    <w:rsid w:val="00B6526A"/>
    <w:rsid w:val="00B72734"/>
    <w:rsid w:val="00B80199"/>
    <w:rsid w:val="00B82D81"/>
    <w:rsid w:val="00B83204"/>
    <w:rsid w:val="00B85FAC"/>
    <w:rsid w:val="00B9126E"/>
    <w:rsid w:val="00BA220B"/>
    <w:rsid w:val="00BA3A57"/>
    <w:rsid w:val="00BB4E1A"/>
    <w:rsid w:val="00BB5C17"/>
    <w:rsid w:val="00BB6E85"/>
    <w:rsid w:val="00BC015E"/>
    <w:rsid w:val="00BC2F74"/>
    <w:rsid w:val="00BC7183"/>
    <w:rsid w:val="00BC76AC"/>
    <w:rsid w:val="00BD0ECB"/>
    <w:rsid w:val="00BD1D9C"/>
    <w:rsid w:val="00BD6606"/>
    <w:rsid w:val="00BE2155"/>
    <w:rsid w:val="00BE2213"/>
    <w:rsid w:val="00BE4E4B"/>
    <w:rsid w:val="00BE6EF9"/>
    <w:rsid w:val="00BE719A"/>
    <w:rsid w:val="00BE720A"/>
    <w:rsid w:val="00BF0D73"/>
    <w:rsid w:val="00BF2465"/>
    <w:rsid w:val="00BF75C9"/>
    <w:rsid w:val="00C0544A"/>
    <w:rsid w:val="00C0565C"/>
    <w:rsid w:val="00C06A3C"/>
    <w:rsid w:val="00C11452"/>
    <w:rsid w:val="00C17457"/>
    <w:rsid w:val="00C25E7F"/>
    <w:rsid w:val="00C2746F"/>
    <w:rsid w:val="00C324A0"/>
    <w:rsid w:val="00C3300F"/>
    <w:rsid w:val="00C34E77"/>
    <w:rsid w:val="00C35875"/>
    <w:rsid w:val="00C35DAF"/>
    <w:rsid w:val="00C4170B"/>
    <w:rsid w:val="00C42BF8"/>
    <w:rsid w:val="00C45171"/>
    <w:rsid w:val="00C47A22"/>
    <w:rsid w:val="00C50043"/>
    <w:rsid w:val="00C50B97"/>
    <w:rsid w:val="00C524FA"/>
    <w:rsid w:val="00C52E7C"/>
    <w:rsid w:val="00C53E2E"/>
    <w:rsid w:val="00C61FD2"/>
    <w:rsid w:val="00C6434E"/>
    <w:rsid w:val="00C643FC"/>
    <w:rsid w:val="00C64873"/>
    <w:rsid w:val="00C67B96"/>
    <w:rsid w:val="00C70CA8"/>
    <w:rsid w:val="00C7573B"/>
    <w:rsid w:val="00C758CF"/>
    <w:rsid w:val="00C7761F"/>
    <w:rsid w:val="00C85FC6"/>
    <w:rsid w:val="00C86B32"/>
    <w:rsid w:val="00C93C03"/>
    <w:rsid w:val="00C9586A"/>
    <w:rsid w:val="00CA5072"/>
    <w:rsid w:val="00CA6361"/>
    <w:rsid w:val="00CA66DC"/>
    <w:rsid w:val="00CB25E3"/>
    <w:rsid w:val="00CB2C8E"/>
    <w:rsid w:val="00CB2D96"/>
    <w:rsid w:val="00CB602E"/>
    <w:rsid w:val="00CB61D3"/>
    <w:rsid w:val="00CD2E90"/>
    <w:rsid w:val="00CE0149"/>
    <w:rsid w:val="00CE051D"/>
    <w:rsid w:val="00CE1335"/>
    <w:rsid w:val="00CE2509"/>
    <w:rsid w:val="00CE3D2A"/>
    <w:rsid w:val="00CE493D"/>
    <w:rsid w:val="00CE541A"/>
    <w:rsid w:val="00CE6D42"/>
    <w:rsid w:val="00CF07FA"/>
    <w:rsid w:val="00CF0BB2"/>
    <w:rsid w:val="00CF3EE8"/>
    <w:rsid w:val="00CF5313"/>
    <w:rsid w:val="00CF5472"/>
    <w:rsid w:val="00CF5777"/>
    <w:rsid w:val="00CF5E8D"/>
    <w:rsid w:val="00D050E6"/>
    <w:rsid w:val="00D052BE"/>
    <w:rsid w:val="00D121AD"/>
    <w:rsid w:val="00D13441"/>
    <w:rsid w:val="00D150E7"/>
    <w:rsid w:val="00D20A4B"/>
    <w:rsid w:val="00D306F8"/>
    <w:rsid w:val="00D32F65"/>
    <w:rsid w:val="00D341C4"/>
    <w:rsid w:val="00D37326"/>
    <w:rsid w:val="00D52DC2"/>
    <w:rsid w:val="00D53BCC"/>
    <w:rsid w:val="00D53D50"/>
    <w:rsid w:val="00D55EE2"/>
    <w:rsid w:val="00D648BB"/>
    <w:rsid w:val="00D702DE"/>
    <w:rsid w:val="00D70DFB"/>
    <w:rsid w:val="00D725D1"/>
    <w:rsid w:val="00D732EC"/>
    <w:rsid w:val="00D7334C"/>
    <w:rsid w:val="00D73C22"/>
    <w:rsid w:val="00D752F6"/>
    <w:rsid w:val="00D766DF"/>
    <w:rsid w:val="00D82118"/>
    <w:rsid w:val="00DA186E"/>
    <w:rsid w:val="00DA4116"/>
    <w:rsid w:val="00DA442D"/>
    <w:rsid w:val="00DB251C"/>
    <w:rsid w:val="00DB38AD"/>
    <w:rsid w:val="00DB4630"/>
    <w:rsid w:val="00DC135A"/>
    <w:rsid w:val="00DC4445"/>
    <w:rsid w:val="00DC4F88"/>
    <w:rsid w:val="00DE0A85"/>
    <w:rsid w:val="00DE169B"/>
    <w:rsid w:val="00DE79F9"/>
    <w:rsid w:val="00E05704"/>
    <w:rsid w:val="00E06CC3"/>
    <w:rsid w:val="00E11E44"/>
    <w:rsid w:val="00E13AFA"/>
    <w:rsid w:val="00E2168B"/>
    <w:rsid w:val="00E21F03"/>
    <w:rsid w:val="00E2286B"/>
    <w:rsid w:val="00E26ED3"/>
    <w:rsid w:val="00E338EF"/>
    <w:rsid w:val="00E40FF8"/>
    <w:rsid w:val="00E41E71"/>
    <w:rsid w:val="00E4718D"/>
    <w:rsid w:val="00E5169C"/>
    <w:rsid w:val="00E52EAF"/>
    <w:rsid w:val="00E544BB"/>
    <w:rsid w:val="00E54572"/>
    <w:rsid w:val="00E546E5"/>
    <w:rsid w:val="00E578EC"/>
    <w:rsid w:val="00E60423"/>
    <w:rsid w:val="00E63E0A"/>
    <w:rsid w:val="00E649D7"/>
    <w:rsid w:val="00E65DD0"/>
    <w:rsid w:val="00E662CB"/>
    <w:rsid w:val="00E7343A"/>
    <w:rsid w:val="00E74DC7"/>
    <w:rsid w:val="00E77D30"/>
    <w:rsid w:val="00E8075A"/>
    <w:rsid w:val="00E818A6"/>
    <w:rsid w:val="00E82B15"/>
    <w:rsid w:val="00E85A91"/>
    <w:rsid w:val="00E861F4"/>
    <w:rsid w:val="00E87718"/>
    <w:rsid w:val="00E87CC7"/>
    <w:rsid w:val="00E92A52"/>
    <w:rsid w:val="00E94D5E"/>
    <w:rsid w:val="00EA0725"/>
    <w:rsid w:val="00EA0BF6"/>
    <w:rsid w:val="00EA17A6"/>
    <w:rsid w:val="00EA4195"/>
    <w:rsid w:val="00EA7100"/>
    <w:rsid w:val="00EA7F9F"/>
    <w:rsid w:val="00EB0E70"/>
    <w:rsid w:val="00EB1274"/>
    <w:rsid w:val="00EB42C4"/>
    <w:rsid w:val="00EB7958"/>
    <w:rsid w:val="00EC4757"/>
    <w:rsid w:val="00EC7EDB"/>
    <w:rsid w:val="00ED14FB"/>
    <w:rsid w:val="00ED2BB6"/>
    <w:rsid w:val="00ED34E1"/>
    <w:rsid w:val="00ED3B8D"/>
    <w:rsid w:val="00ED3F91"/>
    <w:rsid w:val="00ED796D"/>
    <w:rsid w:val="00EF15D3"/>
    <w:rsid w:val="00EF2E3A"/>
    <w:rsid w:val="00F02EF9"/>
    <w:rsid w:val="00F03BB5"/>
    <w:rsid w:val="00F047D8"/>
    <w:rsid w:val="00F072A7"/>
    <w:rsid w:val="00F078DC"/>
    <w:rsid w:val="00F1108C"/>
    <w:rsid w:val="00F14593"/>
    <w:rsid w:val="00F171A1"/>
    <w:rsid w:val="00F219E3"/>
    <w:rsid w:val="00F21FCE"/>
    <w:rsid w:val="00F23125"/>
    <w:rsid w:val="00F23B0E"/>
    <w:rsid w:val="00F32BA8"/>
    <w:rsid w:val="00F349F1"/>
    <w:rsid w:val="00F4215A"/>
    <w:rsid w:val="00F4350D"/>
    <w:rsid w:val="00F44E00"/>
    <w:rsid w:val="00F473FB"/>
    <w:rsid w:val="00F50532"/>
    <w:rsid w:val="00F567F7"/>
    <w:rsid w:val="00F61B09"/>
    <w:rsid w:val="00F62036"/>
    <w:rsid w:val="00F65B52"/>
    <w:rsid w:val="00F67BCA"/>
    <w:rsid w:val="00F73BD6"/>
    <w:rsid w:val="00F800C9"/>
    <w:rsid w:val="00F83989"/>
    <w:rsid w:val="00F85099"/>
    <w:rsid w:val="00F901D3"/>
    <w:rsid w:val="00F9379C"/>
    <w:rsid w:val="00F94C2C"/>
    <w:rsid w:val="00F94EB4"/>
    <w:rsid w:val="00F9632C"/>
    <w:rsid w:val="00FA1E52"/>
    <w:rsid w:val="00FA2432"/>
    <w:rsid w:val="00FA31DE"/>
    <w:rsid w:val="00FA7D17"/>
    <w:rsid w:val="00FC109B"/>
    <w:rsid w:val="00FC3EB8"/>
    <w:rsid w:val="00FC7D25"/>
    <w:rsid w:val="00FD13CC"/>
    <w:rsid w:val="00FE2FB8"/>
    <w:rsid w:val="00FE4399"/>
    <w:rsid w:val="00FE4688"/>
    <w:rsid w:val="00FE72D6"/>
    <w:rsid w:val="00FE79D0"/>
    <w:rsid w:val="00FF10B6"/>
    <w:rsid w:val="00FF33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67DFF04"/>
  <w15:chartTrackingRefBased/>
  <w15:docId w15:val="{BB385652-30C6-46BD-B7DD-46B2AE9AC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customStyle="1" w:styleId="li-bodytextparaa0">
    <w:name w:val="li-bodytextparaa"/>
    <w:basedOn w:val="Normal"/>
    <w:rsid w:val="00072305"/>
    <w:pPr>
      <w:spacing w:before="100" w:beforeAutospacing="1" w:after="100" w:afterAutospacing="1" w:line="240" w:lineRule="auto"/>
    </w:pPr>
    <w:rPr>
      <w:rFonts w:eastAsia="Times New Roman"/>
      <w:sz w:val="24"/>
      <w:szCs w:val="24"/>
      <w:lang w:eastAsia="en-AU"/>
    </w:rPr>
  </w:style>
  <w:style w:type="character" w:customStyle="1" w:styleId="LI-SectionsubsubparaAChar">
    <w:name w:val="LI - Section subsubpara (A) Char"/>
    <w:link w:val="LI-SectionsubsubparaA"/>
    <w:rsid w:val="006554FF"/>
    <w:rPr>
      <w:rFonts w:eastAsia="Times New Roman"/>
      <w:sz w:val="24"/>
      <w:szCs w:val="24"/>
    </w:rPr>
  </w:style>
  <w:style w:type="paragraph" w:styleId="Revision">
    <w:name w:val="Revision"/>
    <w:hidden/>
    <w:uiPriority w:val="99"/>
    <w:semiHidden/>
    <w:rsid w:val="00176854"/>
    <w:rPr>
      <w:sz w:val="22"/>
      <w:lang w:eastAsia="en-US"/>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576944541">
      <w:bodyDiv w:val="1"/>
      <w:marLeft w:val="0"/>
      <w:marRight w:val="0"/>
      <w:marTop w:val="0"/>
      <w:marBottom w:val="0"/>
      <w:divBdr>
        <w:top w:val="none" w:sz="0" w:space="0" w:color="auto"/>
        <w:left w:val="none" w:sz="0" w:space="0" w:color="auto"/>
        <w:bottom w:val="none" w:sz="0" w:space="0" w:color="auto"/>
        <w:right w:val="none" w:sz="0" w:space="0" w:color="auto"/>
      </w:divBdr>
      <w:divsChild>
        <w:div w:id="990401716">
          <w:marLeft w:val="0"/>
          <w:marRight w:val="0"/>
          <w:marTop w:val="0"/>
          <w:marBottom w:val="0"/>
          <w:divBdr>
            <w:top w:val="none" w:sz="0" w:space="0" w:color="auto"/>
            <w:left w:val="none" w:sz="0" w:space="0" w:color="auto"/>
            <w:bottom w:val="none" w:sz="0" w:space="0" w:color="auto"/>
            <w:right w:val="none" w:sz="0" w:space="0" w:color="auto"/>
          </w:divBdr>
          <w:divsChild>
            <w:div w:id="1739864139">
              <w:marLeft w:val="0"/>
              <w:marRight w:val="0"/>
              <w:marTop w:val="0"/>
              <w:marBottom w:val="0"/>
              <w:divBdr>
                <w:top w:val="none" w:sz="0" w:space="0" w:color="auto"/>
                <w:left w:val="none" w:sz="0" w:space="0" w:color="auto"/>
                <w:bottom w:val="none" w:sz="0" w:space="0" w:color="auto"/>
                <w:right w:val="none" w:sz="0" w:space="0" w:color="auto"/>
              </w:divBdr>
              <w:divsChild>
                <w:div w:id="832329760">
                  <w:marLeft w:val="0"/>
                  <w:marRight w:val="0"/>
                  <w:marTop w:val="0"/>
                  <w:marBottom w:val="0"/>
                  <w:divBdr>
                    <w:top w:val="none" w:sz="0" w:space="0" w:color="auto"/>
                    <w:left w:val="none" w:sz="0" w:space="0" w:color="auto"/>
                    <w:bottom w:val="none" w:sz="0" w:space="0" w:color="auto"/>
                    <w:right w:val="none" w:sz="0" w:space="0" w:color="auto"/>
                  </w:divBdr>
                  <w:divsChild>
                    <w:div w:id="277758828">
                      <w:marLeft w:val="0"/>
                      <w:marRight w:val="0"/>
                      <w:marTop w:val="0"/>
                      <w:marBottom w:val="0"/>
                      <w:divBdr>
                        <w:top w:val="none" w:sz="0" w:space="0" w:color="auto"/>
                        <w:left w:val="none" w:sz="0" w:space="0" w:color="auto"/>
                        <w:bottom w:val="none" w:sz="0" w:space="0" w:color="auto"/>
                        <w:right w:val="none" w:sz="0" w:space="0" w:color="auto"/>
                      </w:divBdr>
                      <w:divsChild>
                        <w:div w:id="393504542">
                          <w:marLeft w:val="0"/>
                          <w:marRight w:val="0"/>
                          <w:marTop w:val="0"/>
                          <w:marBottom w:val="0"/>
                          <w:divBdr>
                            <w:top w:val="none" w:sz="0" w:space="0" w:color="auto"/>
                            <w:left w:val="none" w:sz="0" w:space="0" w:color="auto"/>
                            <w:bottom w:val="none" w:sz="0" w:space="0" w:color="auto"/>
                            <w:right w:val="none" w:sz="0" w:space="0" w:color="auto"/>
                          </w:divBdr>
                          <w:divsChild>
                            <w:div w:id="518855459">
                              <w:marLeft w:val="0"/>
                              <w:marRight w:val="0"/>
                              <w:marTop w:val="0"/>
                              <w:marBottom w:val="0"/>
                              <w:divBdr>
                                <w:top w:val="none" w:sz="0" w:space="0" w:color="auto"/>
                                <w:left w:val="none" w:sz="0" w:space="0" w:color="auto"/>
                                <w:bottom w:val="none" w:sz="0" w:space="0" w:color="auto"/>
                                <w:right w:val="none" w:sz="0" w:space="0" w:color="auto"/>
                              </w:divBdr>
                              <w:divsChild>
                                <w:div w:id="462886901">
                                  <w:marLeft w:val="0"/>
                                  <w:marRight w:val="0"/>
                                  <w:marTop w:val="0"/>
                                  <w:marBottom w:val="0"/>
                                  <w:divBdr>
                                    <w:top w:val="none" w:sz="0" w:space="0" w:color="auto"/>
                                    <w:left w:val="none" w:sz="0" w:space="0" w:color="auto"/>
                                    <w:bottom w:val="none" w:sz="0" w:space="0" w:color="auto"/>
                                    <w:right w:val="none" w:sz="0" w:space="0" w:color="auto"/>
                                  </w:divBdr>
                                  <w:divsChild>
                                    <w:div w:id="1239092199">
                                      <w:marLeft w:val="0"/>
                                      <w:marRight w:val="0"/>
                                      <w:marTop w:val="0"/>
                                      <w:marBottom w:val="0"/>
                                      <w:divBdr>
                                        <w:top w:val="none" w:sz="0" w:space="0" w:color="auto"/>
                                        <w:left w:val="none" w:sz="0" w:space="0" w:color="auto"/>
                                        <w:bottom w:val="none" w:sz="0" w:space="0" w:color="auto"/>
                                        <w:right w:val="none" w:sz="0" w:space="0" w:color="auto"/>
                                      </w:divBdr>
                                      <w:divsChild>
                                        <w:div w:id="1311716184">
                                          <w:marLeft w:val="0"/>
                                          <w:marRight w:val="0"/>
                                          <w:marTop w:val="0"/>
                                          <w:marBottom w:val="0"/>
                                          <w:divBdr>
                                            <w:top w:val="none" w:sz="0" w:space="0" w:color="auto"/>
                                            <w:left w:val="none" w:sz="0" w:space="0" w:color="auto"/>
                                            <w:bottom w:val="none" w:sz="0" w:space="0" w:color="auto"/>
                                            <w:right w:val="none" w:sz="0" w:space="0" w:color="auto"/>
                                          </w:divBdr>
                                          <w:divsChild>
                                            <w:div w:id="1014109538">
                                              <w:marLeft w:val="0"/>
                                              <w:marRight w:val="0"/>
                                              <w:marTop w:val="0"/>
                                              <w:marBottom w:val="0"/>
                                              <w:divBdr>
                                                <w:top w:val="none" w:sz="0" w:space="0" w:color="auto"/>
                                                <w:left w:val="none" w:sz="0" w:space="0" w:color="auto"/>
                                                <w:bottom w:val="none" w:sz="0" w:space="0" w:color="auto"/>
                                                <w:right w:val="none" w:sz="0" w:space="0" w:color="auto"/>
                                              </w:divBdr>
                                              <w:divsChild>
                                                <w:div w:id="2130076884">
                                                  <w:marLeft w:val="0"/>
                                                  <w:marRight w:val="0"/>
                                                  <w:marTop w:val="0"/>
                                                  <w:marBottom w:val="0"/>
                                                  <w:divBdr>
                                                    <w:top w:val="none" w:sz="0" w:space="0" w:color="auto"/>
                                                    <w:left w:val="none" w:sz="0" w:space="0" w:color="auto"/>
                                                    <w:bottom w:val="none" w:sz="0" w:space="0" w:color="auto"/>
                                                    <w:right w:val="none" w:sz="0" w:space="0" w:color="auto"/>
                                                  </w:divBdr>
                                                  <w:divsChild>
                                                    <w:div w:id="2110269356">
                                                      <w:marLeft w:val="0"/>
                                                      <w:marRight w:val="0"/>
                                                      <w:marTop w:val="0"/>
                                                      <w:marBottom w:val="0"/>
                                                      <w:divBdr>
                                                        <w:top w:val="none" w:sz="0" w:space="0" w:color="auto"/>
                                                        <w:left w:val="none" w:sz="0" w:space="0" w:color="auto"/>
                                                        <w:bottom w:val="none" w:sz="0" w:space="0" w:color="auto"/>
                                                        <w:right w:val="none" w:sz="0" w:space="0" w:color="auto"/>
                                                      </w:divBdr>
                                                      <w:divsChild>
                                                        <w:div w:id="30490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10.xml><?xml version="1.0" encoding="utf-8"?>
<LongProperties xmlns="http://schemas.microsoft.com/office/2006/metadata/longProperties"/>
</file>

<file path=customXml/item1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SIC Document" ma:contentTypeID="0x010100B5F685A1365F544391EF8C813B164F3A007C235F87492C5146AF2A78F5EA3786F3" ma:contentTypeVersion="29" ma:contentTypeDescription="" ma:contentTypeScope="" ma:versionID="5db9ceac725d8ede087e342e0a795b67">
  <xsd:schema xmlns:xsd="http://www.w3.org/2001/XMLSchema" xmlns:xs="http://www.w3.org/2001/XMLSchema" xmlns:p="http://schemas.microsoft.com/office/2006/metadata/properties" xmlns:ns2="da7a9ac0-bc47-4684-84e6-3a8e9ac80c12" xmlns:ns3="c34c7f6c-aaaf-45a3-a9eb-afe48db4d66e" xmlns:ns4="17f478ab-373e-4295-9ff0-9b833ad01319" targetNamespace="http://schemas.microsoft.com/office/2006/metadata/properties" ma:root="true" ma:fieldsID="b3466ccdab2265d24e19b848e9f973ff" ns2:_="" ns3:_="" ns4:_="">
    <xsd:import namespace="da7a9ac0-bc47-4684-84e6-3a8e9ac80c12"/>
    <xsd:import namespace="c34c7f6c-aaaf-45a3-a9eb-afe48db4d66e"/>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NotesLinks" minOccurs="0"/>
                <xsd:element ref="ns3:d60934758bd44d46b350733ac9e6adc4"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7"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4c7f6c-aaaf-45a3-a9eb-afe48db4d66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54e46640-b2c8-4f13-91a4-f61af8f8ea7f}" ma:internalName="TaxCatchAll" ma:showField="CatchAllData" ma:web="c34c7f6c-aaaf-45a3-a9eb-afe48db4d66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54e46640-b2c8-4f13-91a4-f61af8f8ea7f}" ma:internalName="TaxCatchAllLabel" ma:readOnly="true" ma:showField="CatchAllDataLabel" ma:web="c34c7f6c-aaaf-45a3-a9eb-afe48db4d66e">
      <xsd:complexType>
        <xsd:complexContent>
          <xsd:extension base="dms:MultiChoiceLookup">
            <xsd:sequence>
              <xsd:element name="Value" type="dms:Lookup" maxOccurs="unbounded" minOccurs="0" nillable="true"/>
            </xsd:sequence>
          </xsd:extension>
        </xsd:complexContent>
      </xsd:complexType>
    </xsd:element>
    <xsd:element name="d60934758bd44d46b350733ac9e6adc4" ma:index="18" ma:taxonomy="true" ma:internalName="d60934758bd44d46b350733ac9e6adc4" ma:taxonomyFieldName="SecurityClassification" ma:displayName="Security Classification" ma:readOnly="false" ma:default="-1;#OFFICIAL - Sensitive|6eccc17f-024b-41b0-b6b1-faf98d2aff85" ma:fieldId="{d6093475-8bd4-4d46-b350-733ac9e6adc4}"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cordNumber xmlns="da7a9ac0-bc47-4684-84e6-3a8e9ac80c12">R20200000548917</RecordNumber>
    <ObjectiveID xmlns="da7a9ac0-bc47-4684-84e6-3a8e9ac80c12"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d60934758bd44d46b350733ac9e6adc4 xmlns="c34c7f6c-aaaf-45a3-a9eb-afe48db4d66e">
      <Terms xmlns="http://schemas.microsoft.com/office/infopath/2007/PartnerControls">
        <TermInfo xmlns="http://schemas.microsoft.com/office/infopath/2007/PartnerControls">
          <TermName xmlns="http://schemas.microsoft.com/office/infopath/2007/PartnerControls">Protected</TermName>
          <TermId xmlns="http://schemas.microsoft.com/office/infopath/2007/PartnerControls">0fdd1a11-afcd-482b-8e90-e57051455132</TermId>
        </TermInfo>
      </Terms>
    </d60934758bd44d46b350733ac9e6adc4>
    <TaxCatchAll xmlns="c34c7f6c-aaaf-45a3-a9eb-afe48db4d66e">
      <Value>9</Value>
    </TaxCatchAl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LongProperties xmlns="http://schemas.microsoft.com/office/2006/metadata/longProperties"/>
</file>

<file path=customXml/item9.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FFF66A44-B735-48B6-AE63-3B6FD0772F03}">
  <ds:schemaRefs>
    <ds:schemaRef ds:uri="http://schemas.microsoft.com/sharepoint/events"/>
  </ds:schemaRefs>
</ds:datastoreItem>
</file>

<file path=customXml/itemProps10.xml><?xml version="1.0" encoding="utf-8"?>
<ds:datastoreItem xmlns:ds="http://schemas.openxmlformats.org/officeDocument/2006/customXml" ds:itemID="{C380D0FE-CBAE-4238-9180-80023ED9DA5A}">
  <ds:schemaRefs>
    <ds:schemaRef ds:uri="http://schemas.microsoft.com/office/2006/metadata/longProperties"/>
  </ds:schemaRefs>
</ds:datastoreItem>
</file>

<file path=customXml/itemProps11.xml><?xml version="1.0" encoding="utf-8"?>
<ds:datastoreItem xmlns:ds="http://schemas.openxmlformats.org/officeDocument/2006/customXml" ds:itemID="{E634013E-0F66-47B3-9887-B8815FFE73D9}">
  <ds:schemaRefs>
    <ds:schemaRef ds:uri="http://schemas.microsoft.com/sharepoint/events"/>
  </ds:schemaRefs>
</ds:datastoreItem>
</file>

<file path=customXml/itemProps12.xml><?xml version="1.0" encoding="utf-8"?>
<ds:datastoreItem xmlns:ds="http://schemas.openxmlformats.org/officeDocument/2006/customXml" ds:itemID="{EBE3B06C-CDD1-43DD-91CD-9F03D6F7832F}">
  <ds:schemaRefs>
    <ds:schemaRef ds:uri="http://schemas.openxmlformats.org/officeDocument/2006/bibliography"/>
  </ds:schemaRefs>
</ds:datastoreItem>
</file>

<file path=customXml/itemProps2.xml><?xml version="1.0" encoding="utf-8"?>
<ds:datastoreItem xmlns:ds="http://schemas.openxmlformats.org/officeDocument/2006/customXml" ds:itemID="{663F8289-6C40-4E5A-953E-1E169C74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c34c7f6c-aaaf-45a3-a9eb-afe48db4d66e"/>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8DD0D4-C7F7-4044-8683-BD177AE41895}">
  <ds:schemaRefs>
    <ds:schemaRef ds:uri="http://schemas.microsoft.com/office/2006/metadata/longProperties"/>
  </ds:schemaRefs>
</ds:datastoreItem>
</file>

<file path=customXml/itemProps4.xml><?xml version="1.0" encoding="utf-8"?>
<ds:datastoreItem xmlns:ds="http://schemas.openxmlformats.org/officeDocument/2006/customXml" ds:itemID="{EE8493DD-E175-41DD-85E5-2C71A14D744E}">
  <ds:schemaRefs>
    <ds:schemaRef ds:uri="http://schemas.microsoft.com/sharepoint/v3/contenttype/forms"/>
  </ds:schemaRefs>
</ds:datastoreItem>
</file>

<file path=customXml/itemProps5.xml><?xml version="1.0" encoding="utf-8"?>
<ds:datastoreItem xmlns:ds="http://schemas.openxmlformats.org/officeDocument/2006/customXml" ds:itemID="{C428A023-2917-4374-B5AD-38F3C476A6D3}">
  <ds:schemaRef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17f478ab-373e-4295-9ff0-9b833ad01319"/>
    <ds:schemaRef ds:uri="c34c7f6c-aaaf-45a3-a9eb-afe48db4d66e"/>
    <ds:schemaRef ds:uri="da7a9ac0-bc47-4684-84e6-3a8e9ac80c12"/>
    <ds:schemaRef ds:uri="http://purl.org/dc/dcmitype/"/>
  </ds:schemaRefs>
</ds:datastoreItem>
</file>

<file path=customXml/itemProps6.xml><?xml version="1.0" encoding="utf-8"?>
<ds:datastoreItem xmlns:ds="http://schemas.openxmlformats.org/officeDocument/2006/customXml" ds:itemID="{B0735753-8066-4482-ABF7-405F6ECD5795}">
  <ds:schemaRefs>
    <ds:schemaRef ds:uri="http://schemas.microsoft.com/sharepoint/v3/contenttype/forms"/>
  </ds:schemaRefs>
</ds:datastoreItem>
</file>

<file path=customXml/itemProps7.xml><?xml version="1.0" encoding="utf-8"?>
<ds:datastoreItem xmlns:ds="http://schemas.openxmlformats.org/officeDocument/2006/customXml" ds:itemID="{E6C9F100-4611-422C-8505-89ABCA73B5A6}">
  <ds:schemaRefs>
    <ds:schemaRef ds:uri="http://schemas.microsoft.com/sharepoint/v3/contenttype/forms"/>
  </ds:schemaRefs>
</ds:datastoreItem>
</file>

<file path=customXml/itemProps8.xml><?xml version="1.0" encoding="utf-8"?>
<ds:datastoreItem xmlns:ds="http://schemas.openxmlformats.org/officeDocument/2006/customXml" ds:itemID="{302E317E-B8A2-4439-BEEB-E785DA7CED61}">
  <ds:schemaRefs>
    <ds:schemaRef ds:uri="http://schemas.microsoft.com/office/2006/metadata/longProperties"/>
  </ds:schemaRefs>
</ds:datastoreItem>
</file>

<file path=customXml/itemProps9.xml><?xml version="1.0" encoding="utf-8"?>
<ds:datastoreItem xmlns:ds="http://schemas.openxmlformats.org/officeDocument/2006/customXml" ds:itemID="{62131BCB-F4A1-4AA1-8C68-13C3ADE7453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INST_NEW.DOTX</Template>
  <TotalTime>1</TotalTime>
  <Pages>6</Pages>
  <Words>1430</Words>
  <Characters>8155</Characters>
  <Application>Microsoft Office Word</Application>
  <DocSecurity>4</DocSecurity>
  <PresentationFormat/>
  <Lines>67</Lines>
  <Paragraphs>19</Paragraphs>
  <ScaleCrop>false</ScaleCrop>
  <HeadingPairs>
    <vt:vector size="2" baseType="variant">
      <vt:variant>
        <vt:lpstr>Title</vt:lpstr>
      </vt:variant>
      <vt:variant>
        <vt:i4>1</vt:i4>
      </vt:variant>
    </vt:vector>
  </HeadingPairs>
  <TitlesOfParts>
    <vt:vector size="1" baseType="lpstr">
      <vt:lpstr>ASIC Template (Explanatory Statement - Jan 2019).docx</vt:lpstr>
    </vt:vector>
  </TitlesOfParts>
  <Company>ASIC</Company>
  <LinksUpToDate>false</LinksUpToDate>
  <CharactersWithSpaces>9566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Waverley Duong</dc:creator>
  <cp:keywords/>
  <cp:lastModifiedBy>Narelle Kane</cp:lastModifiedBy>
  <cp:revision>2</cp:revision>
  <cp:lastPrinted>2019-01-03T02:56:00Z</cp:lastPrinted>
  <dcterms:created xsi:type="dcterms:W3CDTF">2020-09-21T03:19:00Z</dcterms:created>
  <dcterms:modified xsi:type="dcterms:W3CDTF">2020-09-21T03:19:00Z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7;#Protected|0fdd1a11-afcd-482b-8e90-e57051455132</vt:lpwstr>
  </property>
  <property fmtid="{D5CDD505-2E9C-101B-9397-08002B2CF9AE}" pid="40" name="RecordPoint_WorkflowType">
    <vt:lpwstr>ActiveSubmitStub</vt:lpwstr>
  </property>
  <property fmtid="{D5CDD505-2E9C-101B-9397-08002B2CF9AE}" pid="41" name="RecordPoint_ActiveItemSiteId">
    <vt:lpwstr>{970ad2fa-f22f-46d1-9c2d-779d215cedf1}</vt:lpwstr>
  </property>
  <property fmtid="{D5CDD505-2E9C-101B-9397-08002B2CF9AE}" pid="42" name="RecordPoint_ActiveItemListId">
    <vt:lpwstr>{973aa0ce-f35d-47c5-8e2b-fd84519936d9}</vt:lpwstr>
  </property>
  <property fmtid="{D5CDD505-2E9C-101B-9397-08002B2CF9AE}" pid="43" name="RecordPoint_ActiveItemUniqueId">
    <vt:lpwstr>{ba62029c-76ab-4b84-9366-93140149e691}</vt:lpwstr>
  </property>
  <property fmtid="{D5CDD505-2E9C-101B-9397-08002B2CF9AE}" pid="44" name="RecordPoint_ActiveItemWebId">
    <vt:lpwstr>{c34c7f6c-aaaf-45a3-a9eb-afe48db4d66e}</vt:lpwstr>
  </property>
  <property fmtid="{D5CDD505-2E9C-101B-9397-08002B2CF9AE}" pid="45" name="IconOverlay">
    <vt:lpwstr/>
  </property>
  <property fmtid="{D5CDD505-2E9C-101B-9397-08002B2CF9AE}" pid="46" name="RecordNumber">
    <vt:lpwstr>R20200000347852</vt:lpwstr>
  </property>
  <property fmtid="{D5CDD505-2E9C-101B-9397-08002B2CF9AE}" pid="47" name="RecordPoint_SubmissionCompleted">
    <vt:lpwstr>2020-09-18T11:29:35.4987938+10:00</vt:lpwstr>
  </property>
  <property fmtid="{D5CDD505-2E9C-101B-9397-08002B2CF9AE}" pid="48" name="RecordPoint_RecordNumberSubmitted">
    <vt:lpwstr>R20200000548917</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9;#Protected|0fdd1a11-afcd-482b-8e90-e57051455132</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Order">
    <vt:lpwstr>71900.0000000000</vt:lpwstr>
  </property>
  <property fmtid="{D5CDD505-2E9C-101B-9397-08002B2CF9AE}" pid="59" name="RecordPoint_SubmissionDate">
    <vt:lpwstr/>
  </property>
  <property fmtid="{D5CDD505-2E9C-101B-9397-08002B2CF9AE}" pid="60" name="RecordPoint_RecordFormat">
    <vt:lpwstr/>
  </property>
  <property fmtid="{D5CDD505-2E9C-101B-9397-08002B2CF9AE}" pid="61" name="RecordPoint_ActiveItemMoved">
    <vt:lpwstr/>
  </property>
  <property fmtid="{D5CDD505-2E9C-101B-9397-08002B2CF9AE}" pid="62" name="p8fbc6b719804e59bcdb664964f27765">
    <vt:lpwstr>Protected|0fdd1a11-afcd-482b-8e90-e57051455132</vt:lpwstr>
  </property>
  <property fmtid="{D5CDD505-2E9C-101B-9397-08002B2CF9AE}" pid="63" name="ContentTypeId">
    <vt:lpwstr>0x010100B5F685A1365F544391EF8C813B164F3A007C235F87492C5146AF2A78F5EA3786F3</vt:lpwstr>
  </property>
</Properties>
</file>